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C912" w14:textId="26C0859D" w:rsidR="009F38D3" w:rsidRDefault="007D63A1">
      <w:pPr>
        <w:tabs>
          <w:tab w:val="center" w:pos="4680"/>
        </w:tabs>
        <w:rPr>
          <w:rFonts w:ascii="MingLiU-ExtB" w:eastAsia="MingLiU-ExtB" w:cs="MingLiU-ExtB"/>
          <w:b/>
          <w:bCs/>
        </w:rPr>
      </w:pPr>
      <w:r>
        <w:rPr>
          <w:rFonts w:ascii="MingLiU-ExtB" w:eastAsia="MingLiU-ExtB" w:cs="MingLiU-ExtB"/>
          <w:b/>
          <w:bCs/>
        </w:rPr>
        <w:tab/>
      </w:r>
      <w:r w:rsidR="00FF3AC8">
        <w:rPr>
          <w:rFonts w:ascii="MingLiU-ExtB" w:eastAsia="MingLiU-ExtB" w:cs="MingLiU-ExtB"/>
          <w:b/>
          <w:bCs/>
          <w:noProof/>
        </w:rPr>
        <w:drawing>
          <wp:inline distT="0" distB="0" distL="0" distR="0" wp14:anchorId="42D2A403" wp14:editId="34AF4534">
            <wp:extent cx="1934633" cy="704215"/>
            <wp:effectExtent l="0" t="0" r="8890" b="635"/>
            <wp:docPr id="829280040" name="Picture 1" descr="A black and blue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80040" name="Picture 1" descr="A black and blue sign with yellow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074" cy="704740"/>
                    </a:xfrm>
                    <a:prstGeom prst="rect">
                      <a:avLst/>
                    </a:prstGeom>
                    <a:noFill/>
                  </pic:spPr>
                </pic:pic>
              </a:graphicData>
            </a:graphic>
          </wp:inline>
        </w:drawing>
      </w:r>
    </w:p>
    <w:p w14:paraId="6B3F4E81" w14:textId="4600604D" w:rsidR="007D63A1" w:rsidRPr="005D454F" w:rsidRDefault="007D63A1" w:rsidP="00FF3AC8">
      <w:pPr>
        <w:tabs>
          <w:tab w:val="center" w:pos="4680"/>
        </w:tabs>
        <w:jc w:val="center"/>
        <w:rPr>
          <w:rFonts w:eastAsia="MingLiU-ExtB"/>
          <w:b/>
          <w:bCs/>
          <w:color w:val="0B769F" w:themeColor="accent4" w:themeShade="BF"/>
          <w:sz w:val="28"/>
          <w:szCs w:val="28"/>
        </w:rPr>
      </w:pPr>
      <w:r w:rsidRPr="005D454F">
        <w:rPr>
          <w:rFonts w:eastAsia="MingLiU-ExtB"/>
          <w:b/>
          <w:bCs/>
          <w:color w:val="0B769F" w:themeColor="accent4" w:themeShade="BF"/>
          <w:sz w:val="28"/>
          <w:szCs w:val="28"/>
        </w:rPr>
        <w:t>Professional Biography of Thomas M. Diachenko</w:t>
      </w:r>
    </w:p>
    <w:p w14:paraId="76B391BD" w14:textId="77777777" w:rsidR="007D63A1" w:rsidRPr="00FC7628" w:rsidRDefault="007D63A1">
      <w:pPr>
        <w:rPr>
          <w:rFonts w:eastAsia="MingLiU-ExtB"/>
          <w:b/>
          <w:bCs/>
        </w:rPr>
      </w:pPr>
    </w:p>
    <w:p w14:paraId="61EAE8A2" w14:textId="6BADDBA1" w:rsidR="007D63A1" w:rsidRPr="00FC7628" w:rsidRDefault="007D63A1" w:rsidP="00902E18">
      <w:pPr>
        <w:ind w:firstLine="720"/>
        <w:jc w:val="both"/>
        <w:rPr>
          <w:rFonts w:eastAsia="MingLiU-ExtB"/>
        </w:rPr>
      </w:pPr>
      <w:r w:rsidRPr="00FC7628">
        <w:rPr>
          <w:rFonts w:eastAsia="MingLiU-ExtB"/>
        </w:rPr>
        <w:t>Thom Diachenko</w:t>
      </w:r>
      <w:r w:rsidR="00FC7628">
        <w:rPr>
          <w:rFonts w:eastAsia="MingLiU-ExtB"/>
        </w:rPr>
        <w:t xml:space="preserve"> </w:t>
      </w:r>
      <w:r w:rsidR="008B1CF6">
        <w:rPr>
          <w:rFonts w:eastAsia="MingLiU-ExtB"/>
        </w:rPr>
        <w:t xml:space="preserve">is a </w:t>
      </w:r>
      <w:r w:rsidR="007209EB">
        <w:rPr>
          <w:rFonts w:eastAsia="MingLiU-ExtB"/>
        </w:rPr>
        <w:t xml:space="preserve">former Pediatric ICU Nurse and a </w:t>
      </w:r>
      <w:r w:rsidR="008D3D76">
        <w:rPr>
          <w:rFonts w:eastAsia="MingLiU-ExtB"/>
        </w:rPr>
        <w:t>civil</w:t>
      </w:r>
      <w:r w:rsidR="007209EB">
        <w:rPr>
          <w:rFonts w:eastAsia="MingLiU-ExtB"/>
        </w:rPr>
        <w:t xml:space="preserve"> trial attorney</w:t>
      </w:r>
      <w:r w:rsidR="008D3D76">
        <w:rPr>
          <w:rFonts w:eastAsia="MingLiU-ExtB"/>
        </w:rPr>
        <w:t xml:space="preserve"> since 1989</w:t>
      </w:r>
      <w:r w:rsidR="007209EB">
        <w:rPr>
          <w:rFonts w:eastAsia="MingLiU-ExtB"/>
        </w:rPr>
        <w:t xml:space="preserve">. </w:t>
      </w:r>
      <w:r w:rsidR="008B1CF6">
        <w:rPr>
          <w:rFonts w:eastAsia="MingLiU-ExtB"/>
        </w:rPr>
        <w:t>He has</w:t>
      </w:r>
      <w:r w:rsidR="008D3D76">
        <w:rPr>
          <w:rFonts w:eastAsia="MingLiU-ExtB"/>
        </w:rPr>
        <w:t xml:space="preserve"> </w:t>
      </w:r>
      <w:r w:rsidRPr="00FC7628">
        <w:rPr>
          <w:rFonts w:eastAsia="MingLiU-ExtB"/>
        </w:rPr>
        <w:t>specializ</w:t>
      </w:r>
      <w:r w:rsidR="008D3D76">
        <w:rPr>
          <w:rFonts w:eastAsia="MingLiU-ExtB"/>
        </w:rPr>
        <w:t>ed</w:t>
      </w:r>
      <w:r w:rsidRPr="00FC7628">
        <w:rPr>
          <w:rFonts w:eastAsia="MingLiU-ExtB"/>
        </w:rPr>
        <w:t xml:space="preserve"> in </w:t>
      </w:r>
      <w:r w:rsidR="00FC7628">
        <w:rPr>
          <w:rFonts w:eastAsia="MingLiU-ExtB"/>
        </w:rPr>
        <w:t xml:space="preserve">litigation of professional (primarily medical) </w:t>
      </w:r>
      <w:r w:rsidRPr="00FC7628">
        <w:rPr>
          <w:rFonts w:eastAsia="MingLiU-ExtB"/>
        </w:rPr>
        <w:t xml:space="preserve">malpractice, </w:t>
      </w:r>
      <w:r w:rsidR="00FC7628">
        <w:rPr>
          <w:rFonts w:eastAsia="MingLiU-ExtB"/>
        </w:rPr>
        <w:t>general negligence/</w:t>
      </w:r>
      <w:r w:rsidRPr="00FC7628">
        <w:rPr>
          <w:rFonts w:eastAsia="MingLiU-ExtB"/>
        </w:rPr>
        <w:t xml:space="preserve">personal injury, </w:t>
      </w:r>
      <w:r w:rsidR="00FC7628">
        <w:rPr>
          <w:rFonts w:eastAsia="MingLiU-ExtB"/>
        </w:rPr>
        <w:t xml:space="preserve">wage and hour, </w:t>
      </w:r>
      <w:r w:rsidR="007209EB">
        <w:rPr>
          <w:rFonts w:eastAsia="MingLiU-ExtB"/>
        </w:rPr>
        <w:t xml:space="preserve">and </w:t>
      </w:r>
      <w:r w:rsidRPr="00FC7628">
        <w:rPr>
          <w:rFonts w:eastAsia="MingLiU-ExtB"/>
        </w:rPr>
        <w:t>employment</w:t>
      </w:r>
      <w:r w:rsidR="003461FA">
        <w:rPr>
          <w:rFonts w:eastAsia="MingLiU-ExtB"/>
        </w:rPr>
        <w:t xml:space="preserve"> law</w:t>
      </w:r>
      <w:r w:rsidRPr="00FC7628">
        <w:rPr>
          <w:rFonts w:eastAsia="MingLiU-ExtB"/>
        </w:rPr>
        <w:t>. Thom received his Bachelor of Science in Nursing from Boston University School in 1981 and his Juris Doctorate from the University of San Diego School of Law in December of 1988</w:t>
      </w:r>
      <w:r w:rsidR="008D3D76">
        <w:rPr>
          <w:rFonts w:eastAsia="MingLiU-ExtB"/>
        </w:rPr>
        <w:t xml:space="preserve">, </w:t>
      </w:r>
      <w:r w:rsidRPr="00FC7628">
        <w:rPr>
          <w:rFonts w:eastAsia="MingLiU-ExtB"/>
        </w:rPr>
        <w:t xml:space="preserve">was a member of the San Diego Law Review and graduated </w:t>
      </w:r>
      <w:r w:rsidRPr="00FC7628">
        <w:rPr>
          <w:rFonts w:eastAsia="MingLiU-ExtB"/>
          <w:i/>
          <w:iCs/>
        </w:rPr>
        <w:t>cum laude</w:t>
      </w:r>
      <w:r w:rsidRPr="00FC7628">
        <w:rPr>
          <w:rFonts w:eastAsia="MingLiU-ExtB"/>
        </w:rPr>
        <w:t xml:space="preserve">. </w:t>
      </w:r>
    </w:p>
    <w:p w14:paraId="3223661D" w14:textId="77777777" w:rsidR="00FC7628" w:rsidRDefault="00FC7628" w:rsidP="00902E18">
      <w:pPr>
        <w:ind w:firstLine="720"/>
        <w:jc w:val="both"/>
        <w:rPr>
          <w:rFonts w:eastAsia="MingLiU-ExtB"/>
        </w:rPr>
      </w:pPr>
    </w:p>
    <w:p w14:paraId="3CC8A0F0" w14:textId="0F7D8D70" w:rsidR="007D63A1" w:rsidRDefault="007D63A1" w:rsidP="00902E18">
      <w:pPr>
        <w:ind w:firstLine="720"/>
        <w:jc w:val="both"/>
        <w:rPr>
          <w:rFonts w:eastAsia="MingLiU-ExtB"/>
        </w:rPr>
      </w:pPr>
      <w:r w:rsidRPr="00FC7628">
        <w:rPr>
          <w:rFonts w:eastAsia="MingLiU-ExtB"/>
        </w:rPr>
        <w:t xml:space="preserve">From 1981 to 1988, Thom worked as a pediatric nurse primarily in the intensive care unit. He is a licensed registered nurse who has worked in </w:t>
      </w:r>
      <w:r w:rsidR="007209EB">
        <w:rPr>
          <w:rFonts w:eastAsia="MingLiU-ExtB"/>
        </w:rPr>
        <w:t xml:space="preserve">acute inpatient </w:t>
      </w:r>
      <w:r w:rsidRPr="00FC7628">
        <w:rPr>
          <w:rFonts w:eastAsia="MingLiU-ExtB"/>
        </w:rPr>
        <w:t>clinical setting</w:t>
      </w:r>
      <w:r w:rsidR="007209EB">
        <w:rPr>
          <w:rFonts w:eastAsia="MingLiU-ExtB"/>
        </w:rPr>
        <w:t>s</w:t>
      </w:r>
      <w:r w:rsidRPr="00FC7628">
        <w:rPr>
          <w:rFonts w:eastAsia="MingLiU-ExtB"/>
        </w:rPr>
        <w:t xml:space="preserve"> at Boston City Hospital, Newington Children’s Hospital, Yale-New-Haven Hospital and San Diego Children’s Hospital. He </w:t>
      </w:r>
      <w:r w:rsidR="007209EB">
        <w:rPr>
          <w:rFonts w:eastAsia="MingLiU-ExtB"/>
        </w:rPr>
        <w:t>was</w:t>
      </w:r>
      <w:r w:rsidRPr="00FC7628">
        <w:rPr>
          <w:rFonts w:eastAsia="MingLiU-ExtB"/>
        </w:rPr>
        <w:t xml:space="preserve"> certified in Advanced Cardiac Life Support (American Heart Association), as an Instructor of Cardiopulmonary Resuscitation (American Heart Association), and as a Trauma Nurse (San Diego Children’s Hospital). Thom also worked as a Pediatric Nursing Educational Instructor, Emergency Transport Nurse and Trauma Nurse. </w:t>
      </w:r>
    </w:p>
    <w:p w14:paraId="4B85F097" w14:textId="77777777" w:rsidR="00FC7628" w:rsidRDefault="00FC7628" w:rsidP="00902E18">
      <w:pPr>
        <w:ind w:firstLine="720"/>
        <w:jc w:val="both"/>
        <w:rPr>
          <w:rFonts w:eastAsia="MingLiU-ExtB"/>
        </w:rPr>
      </w:pPr>
    </w:p>
    <w:p w14:paraId="0B2EC85A" w14:textId="257E4EF1" w:rsidR="009A46DE" w:rsidRDefault="00FC7628" w:rsidP="009A46DE">
      <w:pPr>
        <w:ind w:firstLine="360"/>
        <w:jc w:val="both"/>
        <w:rPr>
          <w:rFonts w:eastAsia="MingLiU-ExtB"/>
        </w:rPr>
      </w:pPr>
      <w:r w:rsidRPr="00FC7628">
        <w:rPr>
          <w:rFonts w:eastAsia="MingLiU-ExtB"/>
        </w:rPr>
        <w:t xml:space="preserve">During his first 12 years of </w:t>
      </w:r>
      <w:r w:rsidR="007209EB">
        <w:rPr>
          <w:rFonts w:eastAsia="MingLiU-ExtB"/>
        </w:rPr>
        <w:t xml:space="preserve">litigation </w:t>
      </w:r>
      <w:r w:rsidRPr="00FC7628">
        <w:rPr>
          <w:rFonts w:eastAsia="MingLiU-ExtB"/>
        </w:rPr>
        <w:t xml:space="preserve">practice, the vast majority of Thom’s professional legal career was spent representing </w:t>
      </w:r>
      <w:r>
        <w:rPr>
          <w:rFonts w:eastAsia="MingLiU-ExtB"/>
        </w:rPr>
        <w:t>health care providers</w:t>
      </w:r>
      <w:r w:rsidRPr="00FC7628">
        <w:rPr>
          <w:rFonts w:eastAsia="MingLiU-ExtB"/>
        </w:rPr>
        <w:t xml:space="preserve"> in medical malpractice actions in San Diego. </w:t>
      </w:r>
      <w:r w:rsidR="009A46DE" w:rsidRPr="009A46DE">
        <w:rPr>
          <w:rFonts w:eastAsia="MingLiU-ExtB"/>
        </w:rPr>
        <w:t>Since 2001, Thom has represented people who were severely injured or families in wrongful death cases, involving the negligence or intentional acts of others. In recent years, Thom’s practice has primarily focused on employee rights with emphasis on wage</w:t>
      </w:r>
      <w:r w:rsidR="00D03B98">
        <w:rPr>
          <w:rFonts w:eastAsia="MingLiU-ExtB"/>
        </w:rPr>
        <w:t xml:space="preserve">, employment practices, </w:t>
      </w:r>
      <w:r w:rsidR="009A46DE" w:rsidRPr="009A46DE">
        <w:rPr>
          <w:rFonts w:eastAsia="MingLiU-ExtB"/>
        </w:rPr>
        <w:t xml:space="preserve">wrongful termination, discrimination and sexual harassment. Thom has developed a significant level of experience with Private Attorney General Act claims for violations of California labor laws for which other lawyers routinely consult with him. Thom has tried </w:t>
      </w:r>
      <w:r w:rsidR="008D3D76">
        <w:rPr>
          <w:rFonts w:eastAsia="MingLiU-ExtB"/>
        </w:rPr>
        <w:t>over 20</w:t>
      </w:r>
      <w:r w:rsidR="009A46DE" w:rsidRPr="009A46DE">
        <w:rPr>
          <w:rFonts w:eastAsia="MingLiU-ExtB"/>
        </w:rPr>
        <w:t xml:space="preserve"> cases</w:t>
      </w:r>
      <w:r w:rsidR="00D03B98">
        <w:rPr>
          <w:rFonts w:eastAsia="MingLiU-ExtB"/>
        </w:rPr>
        <w:t xml:space="preserve"> </w:t>
      </w:r>
      <w:r w:rsidR="008D3D76">
        <w:rPr>
          <w:rFonts w:eastAsia="MingLiU-ExtB"/>
        </w:rPr>
        <w:t>in</w:t>
      </w:r>
      <w:r w:rsidR="00D03B98">
        <w:rPr>
          <w:rFonts w:eastAsia="MingLiU-ExtB"/>
        </w:rPr>
        <w:t xml:space="preserve"> his career.</w:t>
      </w:r>
      <w:r w:rsidR="009A46DE" w:rsidRPr="009A46DE">
        <w:rPr>
          <w:rFonts w:eastAsia="MingLiU-ExtB"/>
        </w:rPr>
        <w:t xml:space="preserve"> These trials have included general negligence, medical malpractice, wage, employment matters for both defendants (early in his career) and plaintiffs (later in his career) in </w:t>
      </w:r>
      <w:r w:rsidR="009A46DE" w:rsidRPr="006C755B">
        <w:rPr>
          <w:rFonts w:eastAsia="MingLiU-ExtB"/>
          <w:i/>
          <w:iCs/>
        </w:rPr>
        <w:t>all three</w:t>
      </w:r>
      <w:r w:rsidR="009A46DE" w:rsidRPr="009A46DE">
        <w:rPr>
          <w:rFonts w:eastAsia="MingLiU-ExtB"/>
        </w:rPr>
        <w:t xml:space="preserve"> </w:t>
      </w:r>
      <w:r w:rsidR="006C755B" w:rsidRPr="006C755B">
        <w:rPr>
          <w:rFonts w:eastAsia="MingLiU-ExtB"/>
          <w:i/>
          <w:iCs/>
        </w:rPr>
        <w:t>separate</w:t>
      </w:r>
      <w:r w:rsidR="006C755B">
        <w:rPr>
          <w:rFonts w:eastAsia="MingLiU-ExtB"/>
        </w:rPr>
        <w:t xml:space="preserve"> </w:t>
      </w:r>
      <w:r w:rsidR="009A46DE" w:rsidRPr="009A46DE">
        <w:rPr>
          <w:rFonts w:eastAsia="MingLiU-ExtB"/>
        </w:rPr>
        <w:t xml:space="preserve">practice areas. </w:t>
      </w:r>
      <w:r w:rsidR="008D3D76" w:rsidRPr="008D3D76">
        <w:rPr>
          <w:rFonts w:eastAsia="MingLiU-ExtB"/>
        </w:rPr>
        <w:t>Thom has successfully tried four PAGA cases with PAGA</w:t>
      </w:r>
      <w:r w:rsidR="00B36530">
        <w:rPr>
          <w:rFonts w:eastAsia="MingLiU-ExtB"/>
        </w:rPr>
        <w:t xml:space="preserve"> </w:t>
      </w:r>
      <w:r w:rsidR="008D3D76" w:rsidRPr="008D3D76">
        <w:rPr>
          <w:rFonts w:eastAsia="MingLiU-ExtB"/>
        </w:rPr>
        <w:t>claims</w:t>
      </w:r>
      <w:r w:rsidR="009A46DE" w:rsidRPr="009A46DE">
        <w:rPr>
          <w:rFonts w:eastAsia="MingLiU-ExtB"/>
        </w:rPr>
        <w:t xml:space="preserve">. Thom has </w:t>
      </w:r>
      <w:r w:rsidR="008D3D76">
        <w:rPr>
          <w:rFonts w:eastAsia="MingLiU-ExtB"/>
        </w:rPr>
        <w:t xml:space="preserve">also </w:t>
      </w:r>
      <w:r w:rsidR="009A46DE" w:rsidRPr="009A46DE">
        <w:rPr>
          <w:rFonts w:eastAsia="MingLiU-ExtB"/>
        </w:rPr>
        <w:t>successfully obtained several precedent setting appellate court decisions involving medical malpractice and wage issues.</w:t>
      </w:r>
    </w:p>
    <w:p w14:paraId="139F3B6F" w14:textId="77777777" w:rsidR="008B1CF6" w:rsidRDefault="008B1CF6" w:rsidP="009A46DE">
      <w:pPr>
        <w:ind w:firstLine="360"/>
        <w:jc w:val="both"/>
        <w:rPr>
          <w:rFonts w:eastAsia="MingLiU-ExtB"/>
        </w:rPr>
      </w:pPr>
    </w:p>
    <w:p w14:paraId="49FA6A2C" w14:textId="042772AF" w:rsidR="008B1CF6" w:rsidRDefault="008B1CF6" w:rsidP="009A46DE">
      <w:pPr>
        <w:ind w:firstLine="360"/>
        <w:jc w:val="both"/>
        <w:rPr>
          <w:rFonts w:eastAsia="MingLiU-ExtB"/>
        </w:rPr>
      </w:pPr>
      <w:r>
        <w:rPr>
          <w:rFonts w:eastAsia="MingLiU-ExtB"/>
        </w:rPr>
        <w:t xml:space="preserve">Thom has received extensive mediation </w:t>
      </w:r>
      <w:proofErr w:type="gramStart"/>
      <w:r>
        <w:rPr>
          <w:rFonts w:eastAsia="MingLiU-ExtB"/>
        </w:rPr>
        <w:t>training</w:t>
      </w:r>
      <w:proofErr w:type="gramEnd"/>
      <w:r>
        <w:rPr>
          <w:rFonts w:eastAsia="MingLiU-ExtB"/>
        </w:rPr>
        <w:t xml:space="preserve"> including from the Strauss Institute for Dispute Resolution at the Pepperdine Caruso School of Law.</w:t>
      </w:r>
      <w:r w:rsidR="007209EB">
        <w:rPr>
          <w:rFonts w:eastAsia="MingLiU-ExtB"/>
        </w:rPr>
        <w:t xml:space="preserve"> He is currently focusing his practice on transitioning to mediation</w:t>
      </w:r>
      <w:r w:rsidR="00380DBA">
        <w:rPr>
          <w:rFonts w:eastAsia="MingLiU-ExtB"/>
        </w:rPr>
        <w:t xml:space="preserve">, </w:t>
      </w:r>
      <w:r w:rsidR="007209EB">
        <w:rPr>
          <w:rFonts w:eastAsia="MingLiU-ExtB"/>
        </w:rPr>
        <w:t>PAGA</w:t>
      </w:r>
      <w:r w:rsidR="002B6C2E">
        <w:rPr>
          <w:rFonts w:eastAsia="MingLiU-ExtB"/>
        </w:rPr>
        <w:t>/wage</w:t>
      </w:r>
      <w:r w:rsidR="007209EB">
        <w:rPr>
          <w:rFonts w:eastAsia="MingLiU-ExtB"/>
        </w:rPr>
        <w:t xml:space="preserve"> expert </w:t>
      </w:r>
      <w:r w:rsidR="00380DBA">
        <w:rPr>
          <w:rFonts w:eastAsia="MingLiU-ExtB"/>
        </w:rPr>
        <w:t>evaluations and consultations</w:t>
      </w:r>
      <w:r w:rsidR="007209EB">
        <w:rPr>
          <w:rFonts w:eastAsia="MingLiU-ExtB"/>
        </w:rPr>
        <w:t>.</w:t>
      </w:r>
    </w:p>
    <w:p w14:paraId="085F461A" w14:textId="77777777" w:rsidR="009A46DE" w:rsidRDefault="009A46DE" w:rsidP="009A46DE">
      <w:pPr>
        <w:ind w:firstLine="360"/>
        <w:jc w:val="both"/>
        <w:rPr>
          <w:rFonts w:eastAsia="MingLiU-ExtB"/>
        </w:rPr>
      </w:pPr>
    </w:p>
    <w:p w14:paraId="198EA8E5" w14:textId="1B51F1A3" w:rsidR="009A46DE" w:rsidRDefault="009A46DE" w:rsidP="009A46DE">
      <w:pPr>
        <w:ind w:firstLine="360"/>
        <w:jc w:val="both"/>
        <w:rPr>
          <w:rFonts w:eastAsia="MingLiU-ExtB"/>
        </w:rPr>
      </w:pPr>
      <w:r>
        <w:rPr>
          <w:rFonts w:eastAsia="MingLiU-ExtB"/>
        </w:rPr>
        <w:t>Highlights of Thom’s legal career include the following:</w:t>
      </w:r>
    </w:p>
    <w:p w14:paraId="3BE0AE63" w14:textId="77777777" w:rsidR="009A46DE" w:rsidRDefault="009A46DE" w:rsidP="009A46DE">
      <w:pPr>
        <w:ind w:firstLine="360"/>
        <w:jc w:val="both"/>
        <w:rPr>
          <w:rFonts w:eastAsia="MingLiU-ExtB"/>
        </w:rPr>
      </w:pPr>
    </w:p>
    <w:p w14:paraId="45272C1D" w14:textId="573DF32E" w:rsidR="009A46DE" w:rsidRPr="006C755B" w:rsidRDefault="006C755B" w:rsidP="009A46DE">
      <w:pPr>
        <w:ind w:firstLine="360"/>
        <w:jc w:val="both"/>
        <w:rPr>
          <w:rFonts w:eastAsia="MingLiU-ExtB"/>
          <w:b/>
          <w:bCs/>
        </w:rPr>
      </w:pPr>
      <w:r w:rsidRPr="006C755B">
        <w:rPr>
          <w:rFonts w:eastAsia="MingLiU-ExtB"/>
          <w:b/>
          <w:bCs/>
        </w:rPr>
        <w:t>COMMUNITY SERVICE:</w:t>
      </w:r>
    </w:p>
    <w:p w14:paraId="0CBF1715" w14:textId="77777777" w:rsidR="00380DBA" w:rsidRPr="00380DBA" w:rsidRDefault="009A46DE" w:rsidP="00380DBA">
      <w:pPr>
        <w:pStyle w:val="ListParagraph"/>
        <w:numPr>
          <w:ilvl w:val="0"/>
          <w:numId w:val="5"/>
        </w:numPr>
        <w:jc w:val="both"/>
        <w:rPr>
          <w:rFonts w:eastAsia="MingLiU-ExtB"/>
        </w:rPr>
      </w:pPr>
      <w:r w:rsidRPr="00380DBA">
        <w:rPr>
          <w:rFonts w:eastAsia="MingLiU-ExtB"/>
        </w:rPr>
        <w:t>Long-standing member of the San Diego County Bar Association and the Consumer</w:t>
      </w:r>
      <w:r w:rsidR="00380DBA" w:rsidRPr="00380DBA">
        <w:rPr>
          <w:rFonts w:eastAsia="MingLiU-ExtB"/>
        </w:rPr>
        <w:t xml:space="preserve"> </w:t>
      </w:r>
    </w:p>
    <w:p w14:paraId="3E32F3C4" w14:textId="789990C1" w:rsidR="00FF3AC8" w:rsidRPr="00FF3AC8" w:rsidRDefault="00380DBA" w:rsidP="00FF3AC8">
      <w:pPr>
        <w:pStyle w:val="ListParagraph"/>
        <w:numPr>
          <w:ilvl w:val="0"/>
          <w:numId w:val="5"/>
        </w:numPr>
        <w:jc w:val="both"/>
        <w:rPr>
          <w:rFonts w:eastAsia="MingLiU-ExtB"/>
        </w:rPr>
      </w:pPr>
      <w:r>
        <w:rPr>
          <w:rFonts w:eastAsia="MingLiU-ExtB"/>
        </w:rPr>
        <w:t xml:space="preserve">Long standing member of the Consumer </w:t>
      </w:r>
      <w:r w:rsidR="009A46DE" w:rsidRPr="00380DBA">
        <w:rPr>
          <w:rFonts w:eastAsia="MingLiU-ExtB"/>
        </w:rPr>
        <w:t>Attorneys of California (CASD), where he also served as a member of board</w:t>
      </w:r>
      <w:r>
        <w:rPr>
          <w:rFonts w:eastAsia="MingLiU-ExtB"/>
        </w:rPr>
        <w:t xml:space="preserve"> for several years </w:t>
      </w:r>
    </w:p>
    <w:p w14:paraId="60E8D858" w14:textId="67A542E8" w:rsidR="009A46DE" w:rsidRPr="00FF3AC8" w:rsidRDefault="009A46DE" w:rsidP="00FF3AC8">
      <w:pPr>
        <w:pStyle w:val="ListParagraph"/>
        <w:numPr>
          <w:ilvl w:val="0"/>
          <w:numId w:val="5"/>
        </w:numPr>
        <w:rPr>
          <w:rFonts w:eastAsia="MingLiU-ExtB"/>
        </w:rPr>
      </w:pPr>
      <w:r w:rsidRPr="00FF3AC8">
        <w:rPr>
          <w:rFonts w:eastAsia="MingLiU-ExtB"/>
        </w:rPr>
        <w:t xml:space="preserve">Column editor for </w:t>
      </w:r>
      <w:r w:rsidRPr="00FF3AC8">
        <w:rPr>
          <w:rFonts w:eastAsia="MingLiU-ExtB"/>
          <w:i/>
          <w:iCs/>
        </w:rPr>
        <w:t>Trial Bar News</w:t>
      </w:r>
      <w:r w:rsidRPr="00FF3AC8">
        <w:rPr>
          <w:rFonts w:eastAsia="MingLiU-ExtB"/>
        </w:rPr>
        <w:t xml:space="preserve"> since 2012, </w:t>
      </w:r>
      <w:r w:rsidR="00C03CBD">
        <w:rPr>
          <w:rFonts w:eastAsia="MingLiU-ExtB"/>
        </w:rPr>
        <w:t>authoring articles for litigators</w:t>
      </w:r>
    </w:p>
    <w:p w14:paraId="5FC08B8C" w14:textId="77777777" w:rsidR="009A46DE" w:rsidRPr="009A46DE" w:rsidRDefault="009A46DE" w:rsidP="009A46DE">
      <w:pPr>
        <w:numPr>
          <w:ilvl w:val="0"/>
          <w:numId w:val="1"/>
        </w:numPr>
        <w:jc w:val="both"/>
        <w:rPr>
          <w:rFonts w:eastAsia="MingLiU-ExtB"/>
        </w:rPr>
      </w:pPr>
      <w:r w:rsidRPr="009A46DE">
        <w:rPr>
          <w:rFonts w:eastAsia="MingLiU-ExtB"/>
        </w:rPr>
        <w:lastRenderedPageBreak/>
        <w:t>Past associate with the Welch and Enright Inns of Court programs</w:t>
      </w:r>
    </w:p>
    <w:p w14:paraId="78B6630E" w14:textId="062E75DC" w:rsidR="009A46DE" w:rsidRPr="009A46DE" w:rsidRDefault="009A46DE" w:rsidP="009A46DE">
      <w:pPr>
        <w:numPr>
          <w:ilvl w:val="0"/>
          <w:numId w:val="1"/>
        </w:numPr>
        <w:jc w:val="both"/>
        <w:rPr>
          <w:rFonts w:eastAsia="MingLiU-ExtB"/>
        </w:rPr>
      </w:pPr>
      <w:r w:rsidRPr="009A46DE">
        <w:rPr>
          <w:rFonts w:eastAsia="MingLiU-ExtB"/>
        </w:rPr>
        <w:t>Past Executive Board Member of the Enright Inns of Co</w:t>
      </w:r>
      <w:r w:rsidR="00B36530">
        <w:rPr>
          <w:rFonts w:eastAsia="MingLiU-ExtB"/>
        </w:rPr>
        <w:t>urt</w:t>
      </w:r>
    </w:p>
    <w:p w14:paraId="08031131" w14:textId="77777777" w:rsidR="009A46DE" w:rsidRPr="009A46DE" w:rsidRDefault="009A46DE" w:rsidP="009A46DE">
      <w:pPr>
        <w:numPr>
          <w:ilvl w:val="0"/>
          <w:numId w:val="1"/>
        </w:numPr>
        <w:jc w:val="both"/>
        <w:rPr>
          <w:rFonts w:eastAsia="MingLiU-ExtB"/>
        </w:rPr>
      </w:pPr>
      <w:r w:rsidRPr="009A46DE">
        <w:rPr>
          <w:rFonts w:eastAsia="MingLiU-ExtB"/>
        </w:rPr>
        <w:t>Past Board Member of Deaf Community Services</w:t>
      </w:r>
    </w:p>
    <w:p w14:paraId="78B73713" w14:textId="77777777" w:rsidR="009A46DE" w:rsidRPr="009A46DE" w:rsidRDefault="009A46DE" w:rsidP="009A46DE">
      <w:pPr>
        <w:numPr>
          <w:ilvl w:val="0"/>
          <w:numId w:val="1"/>
        </w:numPr>
        <w:jc w:val="both"/>
        <w:rPr>
          <w:rFonts w:eastAsia="MingLiU-ExtB"/>
        </w:rPr>
      </w:pPr>
      <w:r w:rsidRPr="009A46DE">
        <w:rPr>
          <w:rFonts w:eastAsia="MingLiU-ExtB"/>
        </w:rPr>
        <w:t>Past Board Member for the University of San Diego Law School Alumni</w:t>
      </w:r>
    </w:p>
    <w:p w14:paraId="27C8CF89" w14:textId="22C352A2" w:rsidR="009A46DE" w:rsidRPr="009A46DE" w:rsidRDefault="009A46DE" w:rsidP="009A46DE">
      <w:pPr>
        <w:numPr>
          <w:ilvl w:val="0"/>
          <w:numId w:val="1"/>
        </w:numPr>
        <w:jc w:val="both"/>
        <w:rPr>
          <w:rFonts w:eastAsia="MingLiU-ExtB"/>
        </w:rPr>
      </w:pPr>
      <w:r w:rsidRPr="009A46DE">
        <w:rPr>
          <w:rFonts w:eastAsia="MingLiU-ExtB"/>
        </w:rPr>
        <w:t xml:space="preserve">Longstanding volunteer for San Diego Inns of Court Trial Practice Program (as a workshop leader training </w:t>
      </w:r>
      <w:r w:rsidR="00D03B98">
        <w:rPr>
          <w:rFonts w:eastAsia="MingLiU-ExtB"/>
        </w:rPr>
        <w:t xml:space="preserve">San Diego’s less experienced </w:t>
      </w:r>
      <w:r w:rsidRPr="009A46DE">
        <w:rPr>
          <w:rFonts w:eastAsia="MingLiU-ExtB"/>
        </w:rPr>
        <w:t>attorneys for trial)</w:t>
      </w:r>
      <w:r w:rsidR="00C125C5">
        <w:rPr>
          <w:rFonts w:eastAsia="MingLiU-ExtB"/>
        </w:rPr>
        <w:t xml:space="preserve"> from 2016-Pesent.</w:t>
      </w:r>
    </w:p>
    <w:p w14:paraId="5DCE8985" w14:textId="77777777" w:rsidR="009A46DE" w:rsidRDefault="009A46DE" w:rsidP="009A46DE">
      <w:pPr>
        <w:numPr>
          <w:ilvl w:val="0"/>
          <w:numId w:val="1"/>
        </w:numPr>
        <w:jc w:val="both"/>
        <w:rPr>
          <w:rFonts w:eastAsia="MingLiU-ExtB"/>
        </w:rPr>
      </w:pPr>
      <w:r w:rsidRPr="009A46DE">
        <w:rPr>
          <w:rFonts w:eastAsia="MingLiU-ExtB"/>
        </w:rPr>
        <w:t>Past California Western Community Outreach Program Volunteer</w:t>
      </w:r>
    </w:p>
    <w:p w14:paraId="53612BD5" w14:textId="0E8BF083" w:rsidR="00380DBA" w:rsidRDefault="00380DBA" w:rsidP="009A46DE">
      <w:pPr>
        <w:numPr>
          <w:ilvl w:val="0"/>
          <w:numId w:val="1"/>
        </w:numPr>
        <w:jc w:val="both"/>
        <w:rPr>
          <w:rFonts w:eastAsia="MingLiU-ExtB"/>
        </w:rPr>
      </w:pPr>
      <w:r>
        <w:rPr>
          <w:rFonts w:eastAsia="MingLiU-ExtB"/>
        </w:rPr>
        <w:t xml:space="preserve">California Bar approved MCLE provider </w:t>
      </w:r>
    </w:p>
    <w:p w14:paraId="64B86CAD" w14:textId="77777777" w:rsidR="009A46DE" w:rsidRDefault="009A46DE" w:rsidP="00380DBA">
      <w:pPr>
        <w:jc w:val="both"/>
        <w:rPr>
          <w:rFonts w:eastAsia="MingLiU-ExtB"/>
          <w:b/>
          <w:bCs/>
        </w:rPr>
      </w:pPr>
    </w:p>
    <w:p w14:paraId="6134CC5B" w14:textId="1B59B68C" w:rsidR="009A46DE" w:rsidRPr="009A46DE" w:rsidRDefault="00D03B98" w:rsidP="006C755B">
      <w:pPr>
        <w:ind w:left="360"/>
        <w:jc w:val="both"/>
        <w:rPr>
          <w:rFonts w:eastAsia="MingLiU-ExtB"/>
        </w:rPr>
      </w:pPr>
      <w:r>
        <w:rPr>
          <w:rFonts w:eastAsia="MingLiU-ExtB"/>
          <w:b/>
          <w:bCs/>
        </w:rPr>
        <w:t xml:space="preserve">RECENT </w:t>
      </w:r>
      <w:r w:rsidR="006C755B">
        <w:rPr>
          <w:rFonts w:eastAsia="MingLiU-ExtB"/>
          <w:b/>
          <w:bCs/>
        </w:rPr>
        <w:t xml:space="preserve">PROFESSIONAL AWARDS/RECOGNITION: </w:t>
      </w:r>
    </w:p>
    <w:p w14:paraId="73C5A4A2" w14:textId="78CA5CC6" w:rsidR="009A46DE" w:rsidRPr="009A46DE" w:rsidRDefault="009A46DE" w:rsidP="009A46DE">
      <w:pPr>
        <w:numPr>
          <w:ilvl w:val="0"/>
          <w:numId w:val="2"/>
        </w:numPr>
        <w:jc w:val="both"/>
        <w:rPr>
          <w:rFonts w:eastAsia="MingLiU-ExtB"/>
        </w:rPr>
      </w:pPr>
      <w:r w:rsidRPr="009A46DE">
        <w:rPr>
          <w:rFonts w:eastAsia="MingLiU-ExtB"/>
        </w:rPr>
        <w:t>2020 CASD Trial Star Award for trial results involving misclassification</w:t>
      </w:r>
      <w:r w:rsidR="006C755B">
        <w:rPr>
          <w:rFonts w:eastAsia="MingLiU-ExtB"/>
        </w:rPr>
        <w:t>, wage, the PAGA</w:t>
      </w:r>
      <w:r w:rsidRPr="009A46DE">
        <w:rPr>
          <w:rFonts w:eastAsia="MingLiU-ExtB"/>
        </w:rPr>
        <w:t xml:space="preserve"> and sexual harassment</w:t>
      </w:r>
    </w:p>
    <w:p w14:paraId="0049E373" w14:textId="386FEB78" w:rsidR="009A46DE" w:rsidRPr="009A46DE" w:rsidRDefault="009A46DE" w:rsidP="009A46DE">
      <w:pPr>
        <w:numPr>
          <w:ilvl w:val="0"/>
          <w:numId w:val="2"/>
        </w:numPr>
        <w:jc w:val="both"/>
        <w:rPr>
          <w:rFonts w:eastAsia="MingLiU-ExtB"/>
        </w:rPr>
      </w:pPr>
      <w:r w:rsidRPr="009A46DE">
        <w:rPr>
          <w:rFonts w:eastAsia="MingLiU-ExtB"/>
        </w:rPr>
        <w:t>2019 CASD Advocate of The Year Award for trial and appellate success on behalf of low wage workers</w:t>
      </w:r>
      <w:r w:rsidR="00380DBA">
        <w:rPr>
          <w:rFonts w:eastAsia="MingLiU-ExtB"/>
        </w:rPr>
        <w:t xml:space="preserve"> with individual and PAGA claims</w:t>
      </w:r>
      <w:r w:rsidR="006C755B">
        <w:rPr>
          <w:rFonts w:eastAsia="MingLiU-ExtB"/>
        </w:rPr>
        <w:t xml:space="preserve"> </w:t>
      </w:r>
    </w:p>
    <w:p w14:paraId="2DA76B5A" w14:textId="77777777" w:rsidR="009A46DE" w:rsidRPr="009A46DE" w:rsidRDefault="009A46DE" w:rsidP="009A46DE">
      <w:pPr>
        <w:numPr>
          <w:ilvl w:val="0"/>
          <w:numId w:val="2"/>
        </w:numPr>
        <w:jc w:val="both"/>
        <w:rPr>
          <w:rFonts w:eastAsia="MingLiU-ExtB"/>
        </w:rPr>
      </w:pPr>
      <w:r w:rsidRPr="009A46DE">
        <w:rPr>
          <w:rFonts w:eastAsia="MingLiU-ExtB"/>
        </w:rPr>
        <w:t>2015 CASD President’s Award – for the Lawyer Mentor Program</w:t>
      </w:r>
    </w:p>
    <w:p w14:paraId="0ACE147F" w14:textId="77777777" w:rsidR="009A46DE" w:rsidRPr="009A46DE" w:rsidRDefault="009A46DE" w:rsidP="009A46DE">
      <w:pPr>
        <w:numPr>
          <w:ilvl w:val="0"/>
          <w:numId w:val="2"/>
        </w:numPr>
        <w:jc w:val="both"/>
        <w:rPr>
          <w:rFonts w:eastAsia="MingLiU-ExtB"/>
        </w:rPr>
      </w:pPr>
      <w:r w:rsidRPr="009A46DE">
        <w:rPr>
          <w:rFonts w:eastAsia="MingLiU-ExtB"/>
        </w:rPr>
        <w:t>Listed annually as a “San Diego Top Lawyer” in San Diego Magazine</w:t>
      </w:r>
    </w:p>
    <w:p w14:paraId="1EF501DD" w14:textId="6645F4FB" w:rsidR="009A46DE" w:rsidRDefault="006C755B" w:rsidP="009A46DE">
      <w:pPr>
        <w:numPr>
          <w:ilvl w:val="0"/>
          <w:numId w:val="2"/>
        </w:numPr>
        <w:jc w:val="both"/>
        <w:rPr>
          <w:rFonts w:eastAsia="MingLiU-ExtB"/>
        </w:rPr>
      </w:pPr>
      <w:r>
        <w:rPr>
          <w:rFonts w:eastAsia="MingLiU-ExtB"/>
        </w:rPr>
        <w:t>List annually as having</w:t>
      </w:r>
      <w:r w:rsidR="009A46DE" w:rsidRPr="009A46DE">
        <w:rPr>
          <w:rFonts w:eastAsia="MingLiU-ExtB"/>
        </w:rPr>
        <w:t xml:space="preserve"> the “Highest Rating” among his peers for competency and ethical standards in </w:t>
      </w:r>
      <w:proofErr w:type="spellStart"/>
      <w:r w:rsidR="009A46DE" w:rsidRPr="009A46DE">
        <w:rPr>
          <w:rFonts w:eastAsia="MingLiU-ExtB"/>
        </w:rPr>
        <w:t>Martendale</w:t>
      </w:r>
      <w:proofErr w:type="spellEnd"/>
      <w:r w:rsidR="009A46DE" w:rsidRPr="009A46DE">
        <w:rPr>
          <w:rFonts w:eastAsia="MingLiU-ExtB"/>
        </w:rPr>
        <w:t xml:space="preserve"> – Hubble Attorney Directory</w:t>
      </w:r>
    </w:p>
    <w:p w14:paraId="20BD2F0C" w14:textId="77777777" w:rsidR="006C755B" w:rsidRPr="009A46DE" w:rsidRDefault="006C755B" w:rsidP="006C755B">
      <w:pPr>
        <w:ind w:left="720"/>
        <w:jc w:val="both"/>
        <w:rPr>
          <w:rFonts w:eastAsia="MingLiU-ExtB"/>
        </w:rPr>
      </w:pPr>
    </w:p>
    <w:p w14:paraId="385537D4" w14:textId="1C03B599" w:rsidR="009A46DE" w:rsidRPr="009A46DE" w:rsidRDefault="009A46DE" w:rsidP="006C755B">
      <w:pPr>
        <w:ind w:left="360"/>
        <w:jc w:val="both"/>
        <w:rPr>
          <w:rFonts w:eastAsia="MingLiU-ExtB"/>
          <w:b/>
          <w:bCs/>
        </w:rPr>
      </w:pPr>
      <w:r w:rsidRPr="009A46DE">
        <w:rPr>
          <w:rFonts w:eastAsia="MingLiU-ExtB"/>
          <w:b/>
          <w:bCs/>
        </w:rPr>
        <w:t>INVITED GUEST SPEAKER FOR LEGAL AND MEDICAL PROFESSIONALS</w:t>
      </w:r>
      <w:r w:rsidR="006C755B">
        <w:rPr>
          <w:rFonts w:eastAsia="MingLiU-ExtB"/>
          <w:b/>
          <w:bCs/>
        </w:rPr>
        <w:t>:</w:t>
      </w:r>
      <w:r w:rsidRPr="009A46DE">
        <w:rPr>
          <w:rFonts w:eastAsia="MingLiU-ExtB"/>
          <w:b/>
          <w:bCs/>
        </w:rPr>
        <w:t xml:space="preserve"> </w:t>
      </w:r>
    </w:p>
    <w:p w14:paraId="384B90DD" w14:textId="77777777" w:rsidR="009A46DE" w:rsidRPr="009A46DE" w:rsidRDefault="009A46DE" w:rsidP="009A46DE">
      <w:pPr>
        <w:numPr>
          <w:ilvl w:val="0"/>
          <w:numId w:val="3"/>
        </w:numPr>
        <w:jc w:val="both"/>
        <w:rPr>
          <w:rFonts w:eastAsia="MingLiU-ExtB"/>
        </w:rPr>
      </w:pPr>
      <w:r w:rsidRPr="009A46DE">
        <w:rPr>
          <w:rFonts w:eastAsia="MingLiU-ExtB"/>
        </w:rPr>
        <w:t>San Diego Children’s Hospital</w:t>
      </w:r>
    </w:p>
    <w:p w14:paraId="460147C0" w14:textId="77777777" w:rsidR="009A46DE" w:rsidRPr="009A46DE" w:rsidRDefault="009A46DE" w:rsidP="009A46DE">
      <w:pPr>
        <w:numPr>
          <w:ilvl w:val="0"/>
          <w:numId w:val="3"/>
        </w:numPr>
        <w:jc w:val="both"/>
        <w:rPr>
          <w:rFonts w:eastAsia="MingLiU-ExtB"/>
        </w:rPr>
      </w:pPr>
      <w:r w:rsidRPr="009A46DE">
        <w:rPr>
          <w:rFonts w:eastAsia="MingLiU-ExtB"/>
        </w:rPr>
        <w:t>UCSD Medical Center</w:t>
      </w:r>
    </w:p>
    <w:p w14:paraId="3A2A65F2" w14:textId="77777777" w:rsidR="009A46DE" w:rsidRPr="009A46DE" w:rsidRDefault="009A46DE" w:rsidP="009A46DE">
      <w:pPr>
        <w:numPr>
          <w:ilvl w:val="0"/>
          <w:numId w:val="3"/>
        </w:numPr>
        <w:jc w:val="both"/>
        <w:rPr>
          <w:rFonts w:eastAsia="MingLiU-ExtB"/>
        </w:rPr>
      </w:pPr>
      <w:r w:rsidRPr="009A46DE">
        <w:rPr>
          <w:rFonts w:eastAsia="MingLiU-ExtB"/>
        </w:rPr>
        <w:t>Palomar Pomerado Hospital District</w:t>
      </w:r>
    </w:p>
    <w:p w14:paraId="0795BC8D" w14:textId="77777777" w:rsidR="009A46DE" w:rsidRPr="009A46DE" w:rsidRDefault="009A46DE" w:rsidP="009A46DE">
      <w:pPr>
        <w:numPr>
          <w:ilvl w:val="0"/>
          <w:numId w:val="3"/>
        </w:numPr>
        <w:jc w:val="both"/>
        <w:rPr>
          <w:rFonts w:eastAsia="MingLiU-ExtB"/>
        </w:rPr>
      </w:pPr>
      <w:r w:rsidRPr="009A46DE">
        <w:rPr>
          <w:rFonts w:eastAsia="MingLiU-ExtB"/>
        </w:rPr>
        <w:t>San Diego County Bar Association</w:t>
      </w:r>
    </w:p>
    <w:p w14:paraId="166F1337" w14:textId="77777777" w:rsidR="009A46DE" w:rsidRPr="009A46DE" w:rsidRDefault="009A46DE" w:rsidP="009A46DE">
      <w:pPr>
        <w:numPr>
          <w:ilvl w:val="0"/>
          <w:numId w:val="3"/>
        </w:numPr>
        <w:jc w:val="both"/>
        <w:rPr>
          <w:rFonts w:eastAsia="MingLiU-ExtB"/>
        </w:rPr>
      </w:pPr>
      <w:r w:rsidRPr="009A46DE">
        <w:rPr>
          <w:rFonts w:eastAsia="MingLiU-ExtB"/>
        </w:rPr>
        <w:t>California Western School of Law</w:t>
      </w:r>
    </w:p>
    <w:p w14:paraId="3E40DBFA" w14:textId="77777777" w:rsidR="009A46DE" w:rsidRPr="009A46DE" w:rsidRDefault="009A46DE" w:rsidP="009A46DE">
      <w:pPr>
        <w:numPr>
          <w:ilvl w:val="0"/>
          <w:numId w:val="3"/>
        </w:numPr>
        <w:jc w:val="both"/>
        <w:rPr>
          <w:rFonts w:eastAsia="MingLiU-ExtB"/>
        </w:rPr>
      </w:pPr>
      <w:r w:rsidRPr="009A46DE">
        <w:rPr>
          <w:rFonts w:eastAsia="MingLiU-ExtB"/>
        </w:rPr>
        <w:t>National Employment Lawyers Association</w:t>
      </w:r>
    </w:p>
    <w:p w14:paraId="5943EC19" w14:textId="77777777" w:rsidR="009A46DE" w:rsidRPr="009A46DE" w:rsidRDefault="009A46DE" w:rsidP="009A46DE">
      <w:pPr>
        <w:numPr>
          <w:ilvl w:val="0"/>
          <w:numId w:val="3"/>
        </w:numPr>
        <w:jc w:val="both"/>
        <w:rPr>
          <w:rFonts w:eastAsia="MingLiU-ExtB"/>
        </w:rPr>
      </w:pPr>
      <w:r w:rsidRPr="009A46DE">
        <w:rPr>
          <w:rFonts w:eastAsia="MingLiU-ExtB"/>
        </w:rPr>
        <w:t>California Employment Lawyers Association</w:t>
      </w:r>
    </w:p>
    <w:p w14:paraId="1DC5529A" w14:textId="77777777" w:rsidR="009A46DE" w:rsidRPr="009A46DE" w:rsidRDefault="009A46DE" w:rsidP="009A46DE">
      <w:pPr>
        <w:numPr>
          <w:ilvl w:val="0"/>
          <w:numId w:val="3"/>
        </w:numPr>
        <w:jc w:val="both"/>
        <w:rPr>
          <w:rFonts w:eastAsia="MingLiU-ExtB"/>
        </w:rPr>
      </w:pPr>
      <w:r w:rsidRPr="009A46DE">
        <w:rPr>
          <w:rFonts w:eastAsia="MingLiU-ExtB"/>
        </w:rPr>
        <w:t>San Diego Lawyer Referral &amp; Information Services</w:t>
      </w:r>
    </w:p>
    <w:p w14:paraId="35FE976B" w14:textId="77777777" w:rsidR="009A46DE" w:rsidRPr="009A46DE" w:rsidRDefault="009A46DE" w:rsidP="009A46DE">
      <w:pPr>
        <w:numPr>
          <w:ilvl w:val="0"/>
          <w:numId w:val="3"/>
        </w:numPr>
        <w:jc w:val="both"/>
        <w:rPr>
          <w:rFonts w:eastAsia="MingLiU-ExtB"/>
        </w:rPr>
      </w:pPr>
      <w:r w:rsidRPr="009A46DE">
        <w:rPr>
          <w:rFonts w:eastAsia="MingLiU-ExtB"/>
        </w:rPr>
        <w:t>Consumer Attorneys of San Diego</w:t>
      </w:r>
    </w:p>
    <w:p w14:paraId="0303A390" w14:textId="77777777" w:rsidR="009A46DE" w:rsidRDefault="009A46DE" w:rsidP="009A46DE">
      <w:pPr>
        <w:numPr>
          <w:ilvl w:val="0"/>
          <w:numId w:val="3"/>
        </w:numPr>
        <w:jc w:val="both"/>
        <w:rPr>
          <w:rFonts w:eastAsia="MingLiU-ExtB"/>
        </w:rPr>
      </w:pPr>
      <w:r w:rsidRPr="009A46DE">
        <w:rPr>
          <w:rFonts w:eastAsia="MingLiU-ExtB"/>
        </w:rPr>
        <w:t>Bridgepoint Legal Education</w:t>
      </w:r>
    </w:p>
    <w:p w14:paraId="0A9E2687" w14:textId="77777777" w:rsidR="006C755B" w:rsidRPr="009A46DE" w:rsidRDefault="006C755B" w:rsidP="006C755B">
      <w:pPr>
        <w:ind w:left="720"/>
        <w:jc w:val="both"/>
        <w:rPr>
          <w:rFonts w:eastAsia="MingLiU-ExtB"/>
        </w:rPr>
      </w:pPr>
    </w:p>
    <w:p w14:paraId="3DA68DED" w14:textId="77777777" w:rsidR="009A46DE" w:rsidRPr="009A46DE" w:rsidRDefault="009A46DE" w:rsidP="006C755B">
      <w:pPr>
        <w:ind w:firstLine="360"/>
        <w:jc w:val="both"/>
        <w:rPr>
          <w:rFonts w:eastAsia="MingLiU-ExtB"/>
          <w:b/>
          <w:bCs/>
        </w:rPr>
      </w:pPr>
      <w:r w:rsidRPr="009A46DE">
        <w:rPr>
          <w:rFonts w:eastAsia="MingLiU-ExtB"/>
          <w:b/>
          <w:bCs/>
        </w:rPr>
        <w:t>SUCCESSFUL APPEALS/WRITS</w:t>
      </w:r>
    </w:p>
    <w:p w14:paraId="399F82EF" w14:textId="4A4A6E58" w:rsidR="009A46DE" w:rsidRPr="009A46DE" w:rsidRDefault="009A46DE" w:rsidP="009A46DE">
      <w:pPr>
        <w:numPr>
          <w:ilvl w:val="0"/>
          <w:numId w:val="4"/>
        </w:numPr>
        <w:jc w:val="both"/>
        <w:rPr>
          <w:rFonts w:eastAsia="MingLiU-ExtB"/>
        </w:rPr>
      </w:pPr>
      <w:r w:rsidRPr="008B1CF6">
        <w:rPr>
          <w:rFonts w:eastAsia="MingLiU-ExtB"/>
          <w:b/>
          <w:bCs/>
          <w:i/>
          <w:iCs/>
          <w:lang w:val="es-ES"/>
        </w:rPr>
        <w:t xml:space="preserve">Atempa et. al., v. </w:t>
      </w:r>
      <w:proofErr w:type="spellStart"/>
      <w:r w:rsidRPr="008B1CF6">
        <w:rPr>
          <w:rFonts w:eastAsia="MingLiU-ExtB"/>
          <w:b/>
          <w:bCs/>
          <w:i/>
          <w:iCs/>
          <w:lang w:val="es-ES"/>
        </w:rPr>
        <w:t>Pedrazzani</w:t>
      </w:r>
      <w:proofErr w:type="spellEnd"/>
      <w:r w:rsidRPr="008B1CF6">
        <w:rPr>
          <w:rFonts w:eastAsia="MingLiU-ExtB"/>
          <w:b/>
          <w:bCs/>
          <w:i/>
          <w:iCs/>
          <w:lang w:val="es-ES"/>
        </w:rPr>
        <w:t xml:space="preserve"> et al.</w:t>
      </w:r>
      <w:r w:rsidRPr="008B1CF6">
        <w:rPr>
          <w:rFonts w:eastAsia="MingLiU-ExtB"/>
          <w:b/>
          <w:bCs/>
          <w:lang w:val="es-ES"/>
        </w:rPr>
        <w:t> </w:t>
      </w:r>
      <w:r w:rsidRPr="009A46DE">
        <w:rPr>
          <w:rFonts w:eastAsia="MingLiU-ExtB"/>
          <w:b/>
          <w:bCs/>
        </w:rPr>
        <w:t>(2018)</w:t>
      </w:r>
      <w:r w:rsidRPr="009A46DE">
        <w:rPr>
          <w:rFonts w:eastAsia="MingLiU-ExtB"/>
        </w:rPr>
        <w:t> </w:t>
      </w:r>
      <w:r w:rsidRPr="009A46DE">
        <w:rPr>
          <w:rFonts w:eastAsia="MingLiU-ExtB"/>
          <w:b/>
          <w:bCs/>
        </w:rPr>
        <w:t>27 Cal.App.5th</w:t>
      </w:r>
      <w:r w:rsidRPr="009A46DE">
        <w:rPr>
          <w:rFonts w:eastAsia="MingLiU-ExtB"/>
        </w:rPr>
        <w:t> </w:t>
      </w:r>
      <w:r w:rsidR="00FD06A5" w:rsidRPr="00FD06A5">
        <w:rPr>
          <w:rFonts w:eastAsia="MingLiU-ExtB"/>
          <w:b/>
          <w:bCs/>
        </w:rPr>
        <w:t>8</w:t>
      </w:r>
      <w:r w:rsidR="001D22F9">
        <w:rPr>
          <w:rFonts w:eastAsia="MingLiU-ExtB"/>
          <w:b/>
          <w:bCs/>
        </w:rPr>
        <w:t>0</w:t>
      </w:r>
      <w:r w:rsidR="00FD06A5" w:rsidRPr="00FD06A5">
        <w:rPr>
          <w:rFonts w:eastAsia="MingLiU-ExtB"/>
          <w:b/>
          <w:bCs/>
        </w:rPr>
        <w:t>9</w:t>
      </w:r>
      <w:r w:rsidRPr="009A46DE">
        <w:rPr>
          <w:rFonts w:eastAsia="MingLiU-ExtB"/>
        </w:rPr>
        <w:t>–trial</w:t>
      </w:r>
      <w:r w:rsidR="001D22F9">
        <w:rPr>
          <w:rFonts w:eastAsia="MingLiU-ExtB"/>
        </w:rPr>
        <w:t xml:space="preserve"> court</w:t>
      </w:r>
      <w:r w:rsidRPr="009A46DE">
        <w:rPr>
          <w:rFonts w:eastAsia="MingLiU-ExtB"/>
        </w:rPr>
        <w:t xml:space="preserve"> verdict in wage/PAGA case upheld. (Thom represented </w:t>
      </w:r>
      <w:r w:rsidR="006C755B">
        <w:rPr>
          <w:rFonts w:eastAsia="MingLiU-ExtB"/>
        </w:rPr>
        <w:t>employees</w:t>
      </w:r>
      <w:r w:rsidRPr="009A46DE">
        <w:rPr>
          <w:rFonts w:eastAsia="MingLiU-ExtB"/>
        </w:rPr>
        <w:t xml:space="preserve"> in a Wage &amp; Hour/PAGA case).</w:t>
      </w:r>
    </w:p>
    <w:p w14:paraId="376EE065" w14:textId="77777777" w:rsidR="009A46DE" w:rsidRPr="009A46DE" w:rsidRDefault="009A46DE" w:rsidP="009A46DE">
      <w:pPr>
        <w:numPr>
          <w:ilvl w:val="0"/>
          <w:numId w:val="4"/>
        </w:numPr>
        <w:jc w:val="both"/>
        <w:rPr>
          <w:rFonts w:eastAsia="MingLiU-ExtB"/>
        </w:rPr>
      </w:pPr>
      <w:proofErr w:type="spellStart"/>
      <w:r w:rsidRPr="008B1CF6">
        <w:rPr>
          <w:rFonts w:eastAsia="MingLiU-ExtB"/>
          <w:b/>
          <w:bCs/>
          <w:i/>
          <w:iCs/>
          <w:lang w:val="fr-FR"/>
        </w:rPr>
        <w:t>Meoni</w:t>
      </w:r>
      <w:proofErr w:type="spellEnd"/>
      <w:r w:rsidRPr="008B1CF6">
        <w:rPr>
          <w:rFonts w:eastAsia="MingLiU-ExtB"/>
          <w:b/>
          <w:bCs/>
          <w:i/>
          <w:iCs/>
          <w:lang w:val="fr-FR"/>
        </w:rPr>
        <w:t xml:space="preserve"> v. </w:t>
      </w:r>
      <w:proofErr w:type="spellStart"/>
      <w:r w:rsidRPr="008B1CF6">
        <w:rPr>
          <w:rFonts w:eastAsia="MingLiU-ExtB"/>
          <w:b/>
          <w:bCs/>
          <w:i/>
          <w:iCs/>
          <w:lang w:val="fr-FR"/>
        </w:rPr>
        <w:t>Vleugels</w:t>
      </w:r>
      <w:proofErr w:type="spellEnd"/>
      <w:r w:rsidRPr="008B1CF6">
        <w:rPr>
          <w:rFonts w:eastAsia="MingLiU-ExtB"/>
          <w:b/>
          <w:bCs/>
          <w:i/>
          <w:iCs/>
          <w:lang w:val="fr-FR"/>
        </w:rPr>
        <w:t>, et al.</w:t>
      </w:r>
      <w:r w:rsidRPr="008B1CF6">
        <w:rPr>
          <w:rFonts w:eastAsia="MingLiU-ExtB"/>
          <w:b/>
          <w:bCs/>
          <w:lang w:val="fr-FR"/>
        </w:rPr>
        <w:t> </w:t>
      </w:r>
      <w:r w:rsidRPr="009A46DE">
        <w:rPr>
          <w:rFonts w:eastAsia="MingLiU-ExtB"/>
          <w:b/>
          <w:bCs/>
        </w:rPr>
        <w:t>(2012)</w:t>
      </w:r>
      <w:r w:rsidRPr="009A46DE">
        <w:rPr>
          <w:rFonts w:eastAsia="MingLiU-ExtB"/>
        </w:rPr>
        <w:t> </w:t>
      </w:r>
      <w:r w:rsidRPr="009A46DE">
        <w:rPr>
          <w:rFonts w:eastAsia="MingLiU-ExtB"/>
          <w:b/>
          <w:bCs/>
        </w:rPr>
        <w:t>D058306</w:t>
      </w:r>
      <w:r w:rsidRPr="009A46DE">
        <w:rPr>
          <w:rFonts w:eastAsia="MingLiU-ExtB"/>
        </w:rPr>
        <w:t> – writ reversing lower court decision of anti-SLAPP motion. (Thom represented plaintiff in medical malpractice case).</w:t>
      </w:r>
    </w:p>
    <w:p w14:paraId="33A346CD" w14:textId="05483EF2" w:rsidR="009A46DE" w:rsidRPr="009A46DE" w:rsidRDefault="009A46DE" w:rsidP="009A46DE">
      <w:pPr>
        <w:numPr>
          <w:ilvl w:val="0"/>
          <w:numId w:val="4"/>
        </w:numPr>
        <w:jc w:val="both"/>
        <w:rPr>
          <w:rFonts w:eastAsia="MingLiU-ExtB"/>
        </w:rPr>
      </w:pPr>
      <w:r w:rsidRPr="009A46DE">
        <w:rPr>
          <w:rFonts w:eastAsia="MingLiU-ExtB"/>
          <w:b/>
          <w:bCs/>
          <w:i/>
          <w:iCs/>
        </w:rPr>
        <w:t>Woodhams v. Superior Court</w:t>
      </w:r>
      <w:r w:rsidRPr="009A46DE">
        <w:rPr>
          <w:rFonts w:eastAsia="MingLiU-ExtB"/>
          <w:b/>
          <w:bCs/>
        </w:rPr>
        <w:t> (2011)</w:t>
      </w:r>
      <w:r w:rsidRPr="009A46DE">
        <w:rPr>
          <w:rFonts w:eastAsia="MingLiU-ExtB"/>
        </w:rPr>
        <w:t> </w:t>
      </w:r>
      <w:r w:rsidRPr="009A46DE">
        <w:rPr>
          <w:rFonts w:eastAsia="MingLiU-ExtB"/>
          <w:b/>
          <w:bCs/>
        </w:rPr>
        <w:t>D049910</w:t>
      </w:r>
      <w:r w:rsidRPr="009A46DE">
        <w:rPr>
          <w:rFonts w:eastAsia="MingLiU-ExtB"/>
        </w:rPr>
        <w:t> – writ reversing lower court decision re defense exams. (Thom represented plaintiff in a medical malpractice case).</w:t>
      </w:r>
    </w:p>
    <w:p w14:paraId="19E00496" w14:textId="77777777" w:rsidR="009A46DE" w:rsidRPr="009A46DE" w:rsidRDefault="009A46DE" w:rsidP="009A46DE">
      <w:pPr>
        <w:numPr>
          <w:ilvl w:val="0"/>
          <w:numId w:val="4"/>
        </w:numPr>
        <w:jc w:val="both"/>
        <w:rPr>
          <w:rFonts w:eastAsia="MingLiU-ExtB"/>
        </w:rPr>
      </w:pPr>
      <w:r w:rsidRPr="009A46DE">
        <w:rPr>
          <w:rFonts w:eastAsia="MingLiU-ExtB"/>
          <w:b/>
          <w:bCs/>
          <w:i/>
          <w:iCs/>
        </w:rPr>
        <w:t>Brown v. Superior Court</w:t>
      </w:r>
      <w:r w:rsidRPr="009A46DE">
        <w:rPr>
          <w:rFonts w:eastAsia="MingLiU-ExtB"/>
          <w:b/>
          <w:bCs/>
        </w:rPr>
        <w:t> (1990)</w:t>
      </w:r>
      <w:r w:rsidRPr="009A46DE">
        <w:rPr>
          <w:rFonts w:eastAsia="MingLiU-ExtB"/>
        </w:rPr>
        <w:t> </w:t>
      </w:r>
      <w:r w:rsidRPr="009A46DE">
        <w:rPr>
          <w:rFonts w:eastAsia="MingLiU-ExtB"/>
          <w:b/>
          <w:bCs/>
        </w:rPr>
        <w:t>224 Cal.App.3d 989</w:t>
      </w:r>
      <w:r w:rsidRPr="009A46DE">
        <w:rPr>
          <w:rFonts w:eastAsia="MingLiU-ExtB"/>
        </w:rPr>
        <w:t> – reversal of lower court summary judgment ruling. (Thom represented the physician/defendant in a medical malpractice case).</w:t>
      </w:r>
    </w:p>
    <w:p w14:paraId="4C1E8E15" w14:textId="421CA75D" w:rsidR="007D63A1" w:rsidRDefault="007D63A1" w:rsidP="009A46DE">
      <w:pPr>
        <w:ind w:firstLine="720"/>
        <w:jc w:val="both"/>
        <w:rPr>
          <w:rFonts w:eastAsia="MingLiU-ExtB"/>
        </w:rPr>
      </w:pPr>
    </w:p>
    <w:p w14:paraId="5A37D464" w14:textId="77777777" w:rsidR="00FF3AC8" w:rsidRDefault="00FF3AC8" w:rsidP="009A46DE">
      <w:pPr>
        <w:ind w:firstLine="720"/>
        <w:jc w:val="both"/>
        <w:rPr>
          <w:rFonts w:eastAsia="MingLiU-ExtB"/>
        </w:rPr>
      </w:pPr>
    </w:p>
    <w:p w14:paraId="4EC65B5F" w14:textId="77777777" w:rsidR="00FF3AC8" w:rsidRDefault="00FF3AC8" w:rsidP="009A46DE">
      <w:pPr>
        <w:ind w:firstLine="720"/>
        <w:jc w:val="both"/>
        <w:rPr>
          <w:rFonts w:eastAsia="MingLiU-ExtB"/>
        </w:rPr>
      </w:pPr>
    </w:p>
    <w:p w14:paraId="29585CE9" w14:textId="77777777" w:rsidR="00FF3AC8" w:rsidRDefault="00FF3AC8" w:rsidP="009A46DE">
      <w:pPr>
        <w:ind w:firstLine="720"/>
        <w:jc w:val="both"/>
        <w:rPr>
          <w:rFonts w:eastAsia="MingLiU-ExtB"/>
        </w:rPr>
      </w:pPr>
    </w:p>
    <w:p w14:paraId="2F4C57EA" w14:textId="77777777" w:rsidR="00C03CBD" w:rsidRPr="00FC7628" w:rsidRDefault="00C03CBD" w:rsidP="009A46DE">
      <w:pPr>
        <w:ind w:firstLine="720"/>
        <w:jc w:val="both"/>
        <w:rPr>
          <w:rFonts w:eastAsia="MingLiU-ExtB"/>
        </w:rPr>
      </w:pPr>
    </w:p>
    <w:p w14:paraId="134D1627" w14:textId="29546EE1" w:rsidR="007D63A1" w:rsidRPr="007F513F" w:rsidRDefault="00FA0F44">
      <w:pPr>
        <w:rPr>
          <w:b/>
          <w:bCs/>
          <w:u w:val="single"/>
        </w:rPr>
      </w:pPr>
      <w:r>
        <w:rPr>
          <w:b/>
          <w:bCs/>
          <w:u w:val="single"/>
        </w:rPr>
        <w:lastRenderedPageBreak/>
        <w:t>*</w:t>
      </w:r>
      <w:r w:rsidR="00C03CBD">
        <w:rPr>
          <w:b/>
          <w:bCs/>
          <w:u w:val="single"/>
        </w:rPr>
        <w:t xml:space="preserve">COURT </w:t>
      </w:r>
      <w:r w:rsidR="00380DBA" w:rsidRPr="007F513F">
        <w:rPr>
          <w:b/>
          <w:bCs/>
          <w:u w:val="single"/>
        </w:rPr>
        <w:t>TRIALS:</w:t>
      </w:r>
    </w:p>
    <w:p w14:paraId="71865BA7" w14:textId="77777777" w:rsidR="00380DBA" w:rsidRDefault="00380DBA">
      <w:pPr>
        <w:rPr>
          <w:b/>
          <w:bCs/>
        </w:rPr>
      </w:pPr>
    </w:p>
    <w:p w14:paraId="669F3E44" w14:textId="109E5103" w:rsidR="003053C2" w:rsidRDefault="003053C2" w:rsidP="003053C2">
      <w:pPr>
        <w:pStyle w:val="ListParagraph"/>
        <w:numPr>
          <w:ilvl w:val="0"/>
          <w:numId w:val="7"/>
        </w:numPr>
      </w:pPr>
      <w:r w:rsidRPr="003053C2">
        <w:rPr>
          <w:b/>
          <w:bCs/>
          <w:i/>
          <w:iCs/>
        </w:rPr>
        <w:t>Graves v. UCSD Medical Center, et. al.</w:t>
      </w:r>
      <w:r w:rsidR="00FF3AC8">
        <w:rPr>
          <w:b/>
          <w:bCs/>
          <w:i/>
          <w:iCs/>
        </w:rPr>
        <w:t xml:space="preserve"> </w:t>
      </w:r>
      <w:r w:rsidRPr="00FF3AC8">
        <w:t>(Filed 1989</w:t>
      </w:r>
      <w:r w:rsidRPr="003053C2">
        <w:rPr>
          <w:b/>
          <w:bCs/>
          <w:i/>
          <w:iCs/>
        </w:rPr>
        <w:t xml:space="preserve">) </w:t>
      </w:r>
      <w:r w:rsidRPr="003053C2">
        <w:t xml:space="preserve">SDSC Case No. 618404 - Defense of </w:t>
      </w:r>
      <w:proofErr w:type="spellStart"/>
      <w:r w:rsidRPr="003053C2">
        <w:t>MedMal</w:t>
      </w:r>
      <w:proofErr w:type="spellEnd"/>
      <w:r w:rsidRPr="003053C2">
        <w:t xml:space="preserve"> Case - Co-Tried (second chair) with Marilyn Moriarty - Tried To </w:t>
      </w:r>
      <w:r w:rsidR="00FF3AC8">
        <w:t>v</w:t>
      </w:r>
      <w:r w:rsidRPr="003053C2">
        <w:t>erdict - Defense Verdict.</w:t>
      </w:r>
    </w:p>
    <w:p w14:paraId="32F9A29D" w14:textId="77777777" w:rsidR="003053C2" w:rsidRDefault="003053C2" w:rsidP="003053C2"/>
    <w:p w14:paraId="45F589EB" w14:textId="362DBC66" w:rsidR="003053C2" w:rsidRDefault="003053C2" w:rsidP="00FF3AC8">
      <w:pPr>
        <w:pStyle w:val="ListParagraph"/>
        <w:numPr>
          <w:ilvl w:val="0"/>
          <w:numId w:val="7"/>
        </w:numPr>
      </w:pPr>
      <w:r w:rsidRPr="003053C2">
        <w:rPr>
          <w:b/>
          <w:bCs/>
          <w:i/>
          <w:iCs/>
        </w:rPr>
        <w:t>CAP v. UCSD Medical Center</w:t>
      </w:r>
      <w:r w:rsidRPr="003053C2">
        <w:t xml:space="preserve"> - (Filed 1991) SDSC Case No. 646581 (</w:t>
      </w:r>
      <w:proofErr w:type="spellStart"/>
      <w:r w:rsidRPr="003053C2">
        <w:t>MedMal</w:t>
      </w:r>
      <w:proofErr w:type="spellEnd"/>
      <w:r w:rsidRPr="003053C2">
        <w:t xml:space="preserve"> - Defense of indemnification claim) Co-tried (second chair) to </w:t>
      </w:r>
      <w:r w:rsidR="00FF3AC8">
        <w:t>v</w:t>
      </w:r>
      <w:r w:rsidRPr="003053C2">
        <w:t>erdict with Doug Reynolds as lead trial counsel - Defense Verdict.</w:t>
      </w:r>
    </w:p>
    <w:p w14:paraId="746AF2E7" w14:textId="77777777" w:rsidR="003053C2" w:rsidRDefault="003053C2" w:rsidP="003053C2"/>
    <w:p w14:paraId="0DBFE5E3" w14:textId="4C8E29A4" w:rsidR="003053C2" w:rsidRDefault="00ED6F6F" w:rsidP="003053C2">
      <w:pPr>
        <w:pStyle w:val="ListParagraph"/>
        <w:numPr>
          <w:ilvl w:val="0"/>
          <w:numId w:val="7"/>
        </w:numPr>
      </w:pPr>
      <w:r w:rsidRPr="00ED6F6F">
        <w:rPr>
          <w:b/>
          <w:bCs/>
          <w:i/>
          <w:iCs/>
        </w:rPr>
        <w:t>Navarro v. Tri City</w:t>
      </w:r>
      <w:r w:rsidRPr="00ED6F6F">
        <w:t xml:space="preserve"> (Filed 1991) - SDSC (North County) Case No. N53236 - Defense of </w:t>
      </w:r>
      <w:proofErr w:type="spellStart"/>
      <w:r w:rsidRPr="00ED6F6F">
        <w:t>MedMal</w:t>
      </w:r>
      <w:proofErr w:type="spellEnd"/>
      <w:r w:rsidRPr="00ED6F6F">
        <w:t xml:space="preserve"> - Co-tried (second chair) to Marilyn Moriarty - Tried </w:t>
      </w:r>
      <w:proofErr w:type="gramStart"/>
      <w:r w:rsidRPr="00ED6F6F">
        <w:t>To</w:t>
      </w:r>
      <w:proofErr w:type="gramEnd"/>
      <w:r w:rsidRPr="00ED6F6F">
        <w:t xml:space="preserve"> Verdict - not there for entire trial - Defense Verdict.</w:t>
      </w:r>
    </w:p>
    <w:p w14:paraId="2FB7C2A9" w14:textId="77777777" w:rsidR="00ED6F6F" w:rsidRDefault="00ED6F6F" w:rsidP="00ED6F6F"/>
    <w:p w14:paraId="5DA046B8" w14:textId="3AE704B0" w:rsidR="00ED6F6F" w:rsidRDefault="00ED6F6F" w:rsidP="00FF3AC8">
      <w:pPr>
        <w:pStyle w:val="ListParagraph"/>
        <w:numPr>
          <w:ilvl w:val="0"/>
          <w:numId w:val="7"/>
        </w:numPr>
      </w:pPr>
      <w:proofErr w:type="spellStart"/>
      <w:r w:rsidRPr="00ED6F6F">
        <w:rPr>
          <w:b/>
          <w:bCs/>
          <w:i/>
          <w:iCs/>
          <w:lang w:val="es-ES"/>
        </w:rPr>
        <w:t>Shega</w:t>
      </w:r>
      <w:proofErr w:type="spellEnd"/>
      <w:r w:rsidRPr="00ED6F6F">
        <w:rPr>
          <w:b/>
          <w:bCs/>
          <w:i/>
          <w:iCs/>
          <w:lang w:val="es-ES"/>
        </w:rPr>
        <w:t xml:space="preserve"> v. Lewis </w:t>
      </w:r>
      <w:proofErr w:type="spellStart"/>
      <w:r w:rsidRPr="00ED6F6F">
        <w:rPr>
          <w:b/>
          <w:bCs/>
          <w:i/>
          <w:iCs/>
          <w:lang w:val="es-ES"/>
        </w:rPr>
        <w:t>D'Amato</w:t>
      </w:r>
      <w:proofErr w:type="spellEnd"/>
      <w:r w:rsidRPr="00ED6F6F">
        <w:rPr>
          <w:b/>
          <w:bCs/>
          <w:i/>
          <w:iCs/>
          <w:lang w:val="es-ES"/>
        </w:rPr>
        <w:t>, Gogo, et. al.</w:t>
      </w:r>
      <w:r w:rsidRPr="00ED6F6F">
        <w:rPr>
          <w:lang w:val="es-ES"/>
        </w:rPr>
        <w:t xml:space="preserve"> </w:t>
      </w:r>
      <w:r>
        <w:t xml:space="preserve">(Filed 1993) SDSC Case No. 666185 - Defense of Legal </w:t>
      </w:r>
      <w:proofErr w:type="spellStart"/>
      <w:r>
        <w:t>Malpx</w:t>
      </w:r>
      <w:proofErr w:type="spellEnd"/>
      <w:r>
        <w:t xml:space="preserve"> Claim -Co-Tried Representing Two Defendants - Tried to Verdict </w:t>
      </w:r>
    </w:p>
    <w:p w14:paraId="24B8B90F" w14:textId="77777777" w:rsidR="00ED6F6F" w:rsidRDefault="00ED6F6F" w:rsidP="00ED6F6F"/>
    <w:p w14:paraId="521E02EE" w14:textId="5A834DE0" w:rsidR="00ED6F6F" w:rsidRDefault="00ED6F6F" w:rsidP="00ED6F6F">
      <w:pPr>
        <w:pStyle w:val="ListParagraph"/>
        <w:numPr>
          <w:ilvl w:val="0"/>
          <w:numId w:val="7"/>
        </w:numPr>
      </w:pPr>
      <w:r w:rsidRPr="00ED6F6F">
        <w:rPr>
          <w:b/>
          <w:bCs/>
          <w:i/>
          <w:iCs/>
        </w:rPr>
        <w:t xml:space="preserve">Rodriguez, Berger, et. </w:t>
      </w:r>
      <w:proofErr w:type="gramStart"/>
      <w:r w:rsidRPr="00ED6F6F">
        <w:rPr>
          <w:b/>
          <w:bCs/>
          <w:i/>
          <w:iCs/>
        </w:rPr>
        <w:t>al</w:t>
      </w:r>
      <w:proofErr w:type="gramEnd"/>
      <w:r w:rsidRPr="00ED6F6F">
        <w:rPr>
          <w:b/>
          <w:bCs/>
          <w:i/>
          <w:iCs/>
        </w:rPr>
        <w:t>. v. UCSD Medical Center, Kung, Montoya</w:t>
      </w:r>
      <w:r>
        <w:t xml:space="preserve"> (Filed 1995) SDSC Case No. 693488; Recall co-tr</w:t>
      </w:r>
      <w:r w:rsidR="00FF3AC8">
        <w:t>ied</w:t>
      </w:r>
      <w:r>
        <w:t xml:space="preserve"> with Doug Reynolds</w:t>
      </w:r>
      <w:r w:rsidR="00FF3AC8">
        <w:t>.</w:t>
      </w:r>
      <w:r>
        <w:t xml:space="preserve"> </w:t>
      </w:r>
    </w:p>
    <w:p w14:paraId="508C5DB4" w14:textId="77777777" w:rsidR="00ED6F6F" w:rsidRDefault="00ED6F6F" w:rsidP="00ED6F6F"/>
    <w:p w14:paraId="646337A1" w14:textId="77777777" w:rsidR="00ED6F6F" w:rsidRDefault="00ED6F6F" w:rsidP="00ED6F6F">
      <w:pPr>
        <w:pStyle w:val="ListParagraph"/>
        <w:numPr>
          <w:ilvl w:val="0"/>
          <w:numId w:val="7"/>
        </w:numPr>
      </w:pPr>
      <w:r w:rsidRPr="00ED6F6F">
        <w:rPr>
          <w:b/>
          <w:bCs/>
          <w:i/>
          <w:iCs/>
          <w:lang w:val="fr-FR"/>
        </w:rPr>
        <w:t xml:space="preserve">Bullard, et. </w:t>
      </w:r>
      <w:proofErr w:type="gramStart"/>
      <w:r w:rsidRPr="00ED6F6F">
        <w:rPr>
          <w:b/>
          <w:bCs/>
          <w:i/>
          <w:iCs/>
          <w:lang w:val="fr-FR"/>
        </w:rPr>
        <w:t>al</w:t>
      </w:r>
      <w:proofErr w:type="gramEnd"/>
      <w:r w:rsidRPr="00ED6F6F">
        <w:rPr>
          <w:b/>
          <w:bCs/>
          <w:i/>
          <w:iCs/>
          <w:lang w:val="fr-FR"/>
        </w:rPr>
        <w:t xml:space="preserve">. v. Wu, UCSD, </w:t>
      </w:r>
      <w:proofErr w:type="spellStart"/>
      <w:r w:rsidRPr="00ED6F6F">
        <w:rPr>
          <w:b/>
          <w:bCs/>
          <w:i/>
          <w:iCs/>
          <w:lang w:val="fr-FR"/>
        </w:rPr>
        <w:t>Regents</w:t>
      </w:r>
      <w:proofErr w:type="spellEnd"/>
      <w:r w:rsidRPr="00ED6F6F">
        <w:rPr>
          <w:b/>
          <w:bCs/>
          <w:i/>
          <w:iCs/>
          <w:lang w:val="fr-FR"/>
        </w:rPr>
        <w:t xml:space="preserve">, et. </w:t>
      </w:r>
      <w:proofErr w:type="gramStart"/>
      <w:r w:rsidRPr="00ED6F6F">
        <w:rPr>
          <w:b/>
          <w:bCs/>
          <w:i/>
          <w:iCs/>
          <w:lang w:val="fr-FR"/>
        </w:rPr>
        <w:t>al</w:t>
      </w:r>
      <w:proofErr w:type="gramEnd"/>
      <w:r w:rsidRPr="00ED6F6F">
        <w:rPr>
          <w:b/>
          <w:bCs/>
          <w:i/>
          <w:iCs/>
          <w:lang w:val="fr-FR"/>
        </w:rPr>
        <w:t>.</w:t>
      </w:r>
      <w:r w:rsidRPr="00ED6F6F">
        <w:rPr>
          <w:lang w:val="fr-FR"/>
        </w:rPr>
        <w:t xml:space="preserve"> </w:t>
      </w:r>
      <w:r>
        <w:t xml:space="preserve">(1995) SDSC Case No. 688102, Defense of </w:t>
      </w:r>
    </w:p>
    <w:p w14:paraId="5B82793A" w14:textId="1F67CF06" w:rsidR="00ED6F6F" w:rsidRDefault="00ED6F6F" w:rsidP="00FF3AC8">
      <w:pPr>
        <w:pStyle w:val="ListParagraph"/>
      </w:pPr>
      <w:proofErr w:type="spellStart"/>
      <w:r>
        <w:t>MedMal</w:t>
      </w:r>
      <w:proofErr w:type="spellEnd"/>
      <w:r>
        <w:t xml:space="preserve"> - Solo Trial Counsel - Plaintiff dismissed case after cross examination of Plaintiff.</w:t>
      </w:r>
    </w:p>
    <w:p w14:paraId="359C071A" w14:textId="77777777" w:rsidR="00FF3AC8" w:rsidRDefault="00FF3AC8" w:rsidP="00FF3AC8">
      <w:pPr>
        <w:pStyle w:val="ListParagraph"/>
      </w:pPr>
    </w:p>
    <w:p w14:paraId="64E61588" w14:textId="6EF15BA7" w:rsidR="009E676B" w:rsidRDefault="00ED6F6F" w:rsidP="00ED6F6F">
      <w:pPr>
        <w:pStyle w:val="ListParagraph"/>
        <w:numPr>
          <w:ilvl w:val="0"/>
          <w:numId w:val="7"/>
        </w:numPr>
      </w:pPr>
      <w:proofErr w:type="spellStart"/>
      <w:r w:rsidRPr="00ED6F6F">
        <w:rPr>
          <w:b/>
          <w:bCs/>
          <w:i/>
          <w:iCs/>
        </w:rPr>
        <w:t>Corbisez</w:t>
      </w:r>
      <w:proofErr w:type="spellEnd"/>
      <w:r w:rsidRPr="00ED6F6F">
        <w:rPr>
          <w:b/>
          <w:bCs/>
          <w:i/>
          <w:iCs/>
        </w:rPr>
        <w:t xml:space="preserve"> v. Wal-Mart</w:t>
      </w:r>
      <w:r w:rsidRPr="00ED6F6F">
        <w:t xml:space="preserve"> - (Filed 1997) </w:t>
      </w:r>
      <w:r w:rsidR="00EB48F0">
        <w:t>General Negligence, Personal Injury for Plaintiff</w:t>
      </w:r>
      <w:r w:rsidRPr="00ED6F6F">
        <w:t xml:space="preserve">, </w:t>
      </w:r>
      <w:r w:rsidR="009E676B">
        <w:rPr>
          <w:rFonts w:eastAsia="Times New Roman"/>
        </w:rPr>
        <w:t>S</w:t>
      </w:r>
      <w:r w:rsidRPr="00ED6F6F">
        <w:t>DSC, East County,</w:t>
      </w:r>
      <w:r>
        <w:t xml:space="preserve"> Case No. EC14956 Co</w:t>
      </w:r>
      <w:r w:rsidR="00FF3AC8">
        <w:t>-</w:t>
      </w:r>
      <w:r>
        <w:t>Tried to verdict with Rich Williams</w:t>
      </w:r>
      <w:r w:rsidR="009E676B">
        <w:t>.</w:t>
      </w:r>
    </w:p>
    <w:p w14:paraId="1983F0F7" w14:textId="48B3351C" w:rsidR="00ED6F6F" w:rsidRDefault="00ED6F6F" w:rsidP="009E676B"/>
    <w:p w14:paraId="04A2B47E" w14:textId="7117C288" w:rsidR="009E676B" w:rsidRDefault="009E676B" w:rsidP="009E676B">
      <w:pPr>
        <w:pStyle w:val="ListParagraph"/>
        <w:numPr>
          <w:ilvl w:val="0"/>
          <w:numId w:val="7"/>
        </w:numPr>
      </w:pPr>
      <w:r w:rsidRPr="009E676B">
        <w:rPr>
          <w:b/>
          <w:bCs/>
          <w:i/>
          <w:iCs/>
        </w:rPr>
        <w:t>Quach v. Du</w:t>
      </w:r>
      <w:r w:rsidRPr="009E676B">
        <w:t xml:space="preserve"> (Filed 11/7/2005) SDSC Case No. GIC856562. Sole Trial Counsel- Defense of Personal Injury Case (No </w:t>
      </w:r>
      <w:proofErr w:type="gramStart"/>
      <w:r w:rsidRPr="009E676B">
        <w:t>worker's</w:t>
      </w:r>
      <w:proofErr w:type="gramEnd"/>
      <w:r w:rsidRPr="009E676B">
        <w:t xml:space="preserve"> Comp) </w:t>
      </w:r>
      <w:r w:rsidR="00C4752A">
        <w:t xml:space="preserve">Tried to verdict- Plaintiff recovered ~$5,000, which was small fraction of amount </w:t>
      </w:r>
      <w:proofErr w:type="gramStart"/>
      <w:r w:rsidR="00C4752A">
        <w:t>sought.</w:t>
      </w:r>
      <w:r>
        <w:t>.</w:t>
      </w:r>
      <w:proofErr w:type="gramEnd"/>
    </w:p>
    <w:p w14:paraId="31983686" w14:textId="77777777" w:rsidR="009E676B" w:rsidRDefault="009E676B" w:rsidP="009E676B">
      <w:pPr>
        <w:pStyle w:val="ListParagraph"/>
      </w:pPr>
    </w:p>
    <w:p w14:paraId="7D6BF4B8" w14:textId="378ED95D" w:rsidR="009E676B" w:rsidRDefault="009E676B" w:rsidP="009E676B">
      <w:pPr>
        <w:pStyle w:val="ListParagraph"/>
        <w:numPr>
          <w:ilvl w:val="0"/>
          <w:numId w:val="7"/>
        </w:numPr>
      </w:pPr>
      <w:r w:rsidRPr="009E676B">
        <w:rPr>
          <w:b/>
          <w:bCs/>
          <w:i/>
          <w:iCs/>
        </w:rPr>
        <w:t>Cindy Sinclair</w:t>
      </w:r>
      <w:r w:rsidR="00C4752A">
        <w:rPr>
          <w:b/>
          <w:bCs/>
          <w:i/>
          <w:iCs/>
        </w:rPr>
        <w:t xml:space="preserve"> </w:t>
      </w:r>
      <w:r w:rsidRPr="009E676B">
        <w:rPr>
          <w:b/>
          <w:bCs/>
          <w:i/>
          <w:iCs/>
        </w:rPr>
        <w:t>v. BeckMD</w:t>
      </w:r>
      <w:r w:rsidRPr="009E676B">
        <w:t xml:space="preserve">- SDSC Case No. GIC807123, </w:t>
      </w:r>
      <w:proofErr w:type="spellStart"/>
      <w:r w:rsidRPr="009E676B">
        <w:t>MedMal</w:t>
      </w:r>
      <w:proofErr w:type="spellEnd"/>
      <w:r w:rsidRPr="009E676B">
        <w:t xml:space="preserve"> </w:t>
      </w:r>
      <w:proofErr w:type="gramStart"/>
      <w:r w:rsidRPr="009E676B">
        <w:t>For</w:t>
      </w:r>
      <w:proofErr w:type="gramEnd"/>
      <w:r w:rsidRPr="009E676B">
        <w:t xml:space="preserve"> Plaintiff-Jury Trial -To Verdict - Sole Trial Counsel - Defense Verdict.</w:t>
      </w:r>
    </w:p>
    <w:p w14:paraId="3D8FE66C" w14:textId="77777777" w:rsidR="009E676B" w:rsidRDefault="009E676B" w:rsidP="009E676B">
      <w:pPr>
        <w:pStyle w:val="ListParagraph"/>
      </w:pPr>
    </w:p>
    <w:p w14:paraId="0D06163D" w14:textId="15B7AEB2" w:rsidR="009E676B" w:rsidRDefault="009E676B" w:rsidP="009E676B">
      <w:pPr>
        <w:pStyle w:val="ListParagraph"/>
        <w:numPr>
          <w:ilvl w:val="0"/>
          <w:numId w:val="7"/>
        </w:numPr>
      </w:pPr>
      <w:r w:rsidRPr="009E676B">
        <w:rPr>
          <w:b/>
          <w:bCs/>
          <w:i/>
          <w:iCs/>
        </w:rPr>
        <w:t>O' Patry v. Murphy, Rife</w:t>
      </w:r>
      <w:r w:rsidRPr="009E676B">
        <w:t xml:space="preserve"> (Filed 3/7/2007), SDSC Case GIC</w:t>
      </w:r>
      <w:proofErr w:type="gramStart"/>
      <w:r w:rsidRPr="009E676B">
        <w:t>881411 :</w:t>
      </w:r>
      <w:proofErr w:type="gramEnd"/>
      <w:r w:rsidRPr="009E676B">
        <w:t xml:space="preserve"> </w:t>
      </w:r>
      <w:r>
        <w:t xml:space="preserve">General Negligence for Plaintiff, </w:t>
      </w:r>
      <w:r w:rsidRPr="009E676B">
        <w:t>Sole Trial Counsel Tried in 2008 -To Verdict.</w:t>
      </w:r>
    </w:p>
    <w:p w14:paraId="14A36161" w14:textId="77777777" w:rsidR="009E676B" w:rsidRDefault="009E676B" w:rsidP="009E676B">
      <w:pPr>
        <w:pStyle w:val="ListParagraph"/>
      </w:pPr>
    </w:p>
    <w:p w14:paraId="4C19CB91" w14:textId="66479D82" w:rsidR="009E676B" w:rsidRPr="00C4752A" w:rsidRDefault="007F513F" w:rsidP="007F513F">
      <w:pPr>
        <w:pStyle w:val="ListParagraph"/>
        <w:numPr>
          <w:ilvl w:val="0"/>
          <w:numId w:val="7"/>
        </w:numPr>
        <w:rPr>
          <w:b/>
          <w:bCs/>
          <w:i/>
          <w:iCs/>
        </w:rPr>
      </w:pPr>
      <w:r>
        <w:t xml:space="preserve">On the Cross-Action entitled: </w:t>
      </w:r>
      <w:proofErr w:type="spellStart"/>
      <w:r w:rsidR="00E60861" w:rsidRPr="00E60861">
        <w:rPr>
          <w:b/>
          <w:bCs/>
          <w:i/>
          <w:iCs/>
        </w:rPr>
        <w:t>Ghadrdan</w:t>
      </w:r>
      <w:proofErr w:type="spellEnd"/>
      <w:r w:rsidRPr="00E60861">
        <w:rPr>
          <w:b/>
          <w:bCs/>
          <w:i/>
          <w:iCs/>
        </w:rPr>
        <w:t xml:space="preserve"> </w:t>
      </w:r>
      <w:r w:rsidR="00C4752A">
        <w:rPr>
          <w:b/>
          <w:bCs/>
          <w:i/>
          <w:iCs/>
        </w:rPr>
        <w:t>v</w:t>
      </w:r>
      <w:r w:rsidR="00E60861" w:rsidRPr="00E60861">
        <w:rPr>
          <w:b/>
          <w:bCs/>
          <w:i/>
          <w:iCs/>
        </w:rPr>
        <w:t xml:space="preserve"> </w:t>
      </w:r>
      <w:r w:rsidRPr="00E60861">
        <w:rPr>
          <w:b/>
          <w:bCs/>
          <w:i/>
          <w:iCs/>
        </w:rPr>
        <w:t xml:space="preserve">Flamingo Car Group </w:t>
      </w:r>
      <w:r w:rsidR="00E60861">
        <w:rPr>
          <w:b/>
          <w:bCs/>
          <w:i/>
          <w:iCs/>
        </w:rPr>
        <w:t>(</w:t>
      </w:r>
      <w:r w:rsidR="00E60861">
        <w:t>Bench Trial in 2007) Wage &amp; Hour Case, Sole Trial Counsel- Decision in favor of my client- Cross-Complainant.</w:t>
      </w:r>
    </w:p>
    <w:p w14:paraId="7F6A5FB8" w14:textId="77777777" w:rsidR="00C4752A" w:rsidRPr="00C4752A" w:rsidRDefault="00C4752A" w:rsidP="00C4752A">
      <w:pPr>
        <w:rPr>
          <w:b/>
          <w:bCs/>
          <w:i/>
          <w:iCs/>
        </w:rPr>
      </w:pPr>
    </w:p>
    <w:p w14:paraId="3B7049DC" w14:textId="4602219C" w:rsidR="00E60861" w:rsidRPr="00426BBB" w:rsidRDefault="00E60861" w:rsidP="00E60861">
      <w:pPr>
        <w:pStyle w:val="ListParagraph"/>
        <w:numPr>
          <w:ilvl w:val="0"/>
          <w:numId w:val="7"/>
        </w:numPr>
        <w:rPr>
          <w:b/>
          <w:bCs/>
          <w:i/>
          <w:iCs/>
        </w:rPr>
      </w:pPr>
      <w:r w:rsidRPr="00426BBB">
        <w:rPr>
          <w:b/>
          <w:bCs/>
          <w:i/>
          <w:iCs/>
        </w:rPr>
        <w:t xml:space="preserve">Figueroa, et al v ROADONE, et </w:t>
      </w:r>
      <w:proofErr w:type="gramStart"/>
      <w:r w:rsidRPr="00426BBB">
        <w:rPr>
          <w:b/>
          <w:bCs/>
          <w:i/>
          <w:iCs/>
        </w:rPr>
        <w:t>al</w:t>
      </w:r>
      <w:r w:rsidR="00426BBB" w:rsidRPr="00426BBB">
        <w:rPr>
          <w:b/>
          <w:bCs/>
          <w:i/>
          <w:iCs/>
        </w:rPr>
        <w:t xml:space="preserve"> </w:t>
      </w:r>
      <w:r w:rsidR="00245CDB">
        <w:rPr>
          <w:b/>
          <w:bCs/>
          <w:i/>
          <w:iCs/>
        </w:rPr>
        <w:t xml:space="preserve"> </w:t>
      </w:r>
      <w:r w:rsidR="00426BBB" w:rsidRPr="00426BBB">
        <w:t>SDSC</w:t>
      </w:r>
      <w:proofErr w:type="gramEnd"/>
      <w:r w:rsidR="00426BBB" w:rsidRPr="00426BBB">
        <w:t xml:space="preserve"> Case No. 37-2010-00088352-CU-OE-</w:t>
      </w:r>
      <w:proofErr w:type="gramStart"/>
      <w:r w:rsidR="00426BBB" w:rsidRPr="00426BBB">
        <w:t xml:space="preserve">CTL, </w:t>
      </w:r>
      <w:r w:rsidR="00C4752A">
        <w:t xml:space="preserve"> 3</w:t>
      </w:r>
      <w:proofErr w:type="gramEnd"/>
      <w:r w:rsidR="00C4752A">
        <w:t xml:space="preserve"> week jury Trial. </w:t>
      </w:r>
      <w:r w:rsidR="00245CDB" w:rsidRPr="00426BBB">
        <w:t xml:space="preserve"> </w:t>
      </w:r>
      <w:r w:rsidR="00426BBB" w:rsidRPr="00426BBB">
        <w:t>Rep</w:t>
      </w:r>
      <w:r w:rsidR="00426BBB">
        <w:t xml:space="preserve">resented seven Plaintiffs </w:t>
      </w:r>
      <w:r w:rsidR="00245CDB">
        <w:t>in</w:t>
      </w:r>
      <w:r w:rsidR="00426BBB">
        <w:t xml:space="preserve"> individual Wage &amp; Hour claims, Lead Trial Counsel, Trial in 2013- to Verdict, Plaintiffs’ Verdict. </w:t>
      </w:r>
    </w:p>
    <w:p w14:paraId="755DDBA3" w14:textId="77777777" w:rsidR="00426BBB" w:rsidRDefault="00426BBB" w:rsidP="00426BBB">
      <w:pPr>
        <w:rPr>
          <w:b/>
          <w:bCs/>
          <w:i/>
          <w:iCs/>
        </w:rPr>
      </w:pPr>
    </w:p>
    <w:p w14:paraId="36092846" w14:textId="77777777" w:rsidR="00C4752A" w:rsidRDefault="00C4752A" w:rsidP="00426BBB">
      <w:pPr>
        <w:rPr>
          <w:b/>
          <w:bCs/>
          <w:i/>
          <w:iCs/>
        </w:rPr>
      </w:pPr>
    </w:p>
    <w:p w14:paraId="7289464A" w14:textId="616E3EF0" w:rsidR="000D700C" w:rsidRDefault="000D700C" w:rsidP="00B949E9">
      <w:pPr>
        <w:pStyle w:val="ListParagraph"/>
        <w:numPr>
          <w:ilvl w:val="0"/>
          <w:numId w:val="7"/>
        </w:numPr>
      </w:pPr>
      <w:r w:rsidRPr="00C4752A">
        <w:rPr>
          <w:b/>
          <w:bCs/>
          <w:i/>
          <w:iCs/>
        </w:rPr>
        <w:lastRenderedPageBreak/>
        <w:t xml:space="preserve">Cardenas v. Heyden Landscape, et. </w:t>
      </w:r>
      <w:proofErr w:type="gramStart"/>
      <w:r w:rsidRPr="00C4752A">
        <w:rPr>
          <w:b/>
          <w:bCs/>
          <w:i/>
          <w:iCs/>
        </w:rPr>
        <w:t>al</w:t>
      </w:r>
      <w:proofErr w:type="gramEnd"/>
      <w:r>
        <w:t>., SDSC Case No. 37-2012-92699-CU-WT-CTL. Bench Trial in 2014</w:t>
      </w:r>
      <w:r w:rsidR="00C4752A">
        <w:t xml:space="preserve">, </w:t>
      </w:r>
      <w:r>
        <w:t xml:space="preserve">Judge Wohlfeil. Represented Plaintiff in Wage &amp; Hour, Lead Trial </w:t>
      </w:r>
      <w:proofErr w:type="gramStart"/>
      <w:r>
        <w:t>Counsel;</w:t>
      </w:r>
      <w:proofErr w:type="gramEnd"/>
      <w:r>
        <w:t xml:space="preserve"> Decision in favor of Plaintiff</w:t>
      </w:r>
      <w:r w:rsidR="00C4752A">
        <w:t>.</w:t>
      </w:r>
    </w:p>
    <w:p w14:paraId="5FDF7C51" w14:textId="77777777" w:rsidR="00C4752A" w:rsidRDefault="00C4752A" w:rsidP="00C4752A">
      <w:pPr>
        <w:pStyle w:val="ListParagraph"/>
      </w:pPr>
    </w:p>
    <w:p w14:paraId="24AF66E8" w14:textId="3AFD873B" w:rsidR="000D700C" w:rsidRPr="000D700C" w:rsidRDefault="000D700C" w:rsidP="000D700C">
      <w:pPr>
        <w:pStyle w:val="ListParagraph"/>
        <w:numPr>
          <w:ilvl w:val="0"/>
          <w:numId w:val="7"/>
        </w:numPr>
      </w:pPr>
      <w:r w:rsidRPr="000D700C">
        <w:rPr>
          <w:b/>
          <w:bCs/>
          <w:i/>
          <w:iCs/>
          <w:lang w:val="es-ES"/>
        </w:rPr>
        <w:t xml:space="preserve">Atempa et. al. v. </w:t>
      </w:r>
      <w:proofErr w:type="spellStart"/>
      <w:r w:rsidRPr="000D700C">
        <w:rPr>
          <w:b/>
          <w:bCs/>
          <w:i/>
          <w:iCs/>
          <w:lang w:val="es-ES"/>
        </w:rPr>
        <w:t>Pedrazzani</w:t>
      </w:r>
      <w:proofErr w:type="spellEnd"/>
      <w:r w:rsidRPr="000D700C">
        <w:rPr>
          <w:b/>
          <w:bCs/>
          <w:i/>
          <w:iCs/>
          <w:lang w:val="es-ES"/>
        </w:rPr>
        <w:t xml:space="preserve"> and PAMA Inc.,</w:t>
      </w:r>
      <w:r w:rsidRPr="000D700C">
        <w:rPr>
          <w:lang w:val="es-ES"/>
        </w:rPr>
        <w:t xml:space="preserve"> SDSC Case No. 37-2013-00058208-CU-OE-CTL. </w:t>
      </w:r>
      <w:r w:rsidRPr="000D700C">
        <w:t>Two- week bench trial</w:t>
      </w:r>
      <w:r w:rsidR="00C4752A">
        <w:t xml:space="preserve">, </w:t>
      </w:r>
      <w:r w:rsidRPr="000D700C">
        <w:t>Judge Wohlfeil</w:t>
      </w:r>
      <w:r>
        <w:t xml:space="preserve"> in 2015 (PAGA +1)</w:t>
      </w:r>
      <w:r w:rsidRPr="000D700C">
        <w:t xml:space="preserve">. </w:t>
      </w:r>
      <w:r>
        <w:t xml:space="preserve">Represented Plaintiff Wage &amp; Hour. </w:t>
      </w:r>
      <w:r w:rsidRPr="000D700C">
        <w:t>Lead Trial Counsel; Decision in favor of Plaintiff</w:t>
      </w:r>
      <w:r>
        <w:t xml:space="preserve">. </w:t>
      </w:r>
      <w:r w:rsidRPr="000D700C">
        <w:t xml:space="preserve">Affirmed on appeal in published decision, </w:t>
      </w:r>
      <w:r w:rsidRPr="00C4752A">
        <w:rPr>
          <w:b/>
          <w:bCs/>
          <w:i/>
          <w:iCs/>
        </w:rPr>
        <w:t xml:space="preserve">Atempa et. al. v. </w:t>
      </w:r>
      <w:proofErr w:type="spellStart"/>
      <w:r w:rsidRPr="00C4752A">
        <w:rPr>
          <w:b/>
          <w:bCs/>
          <w:i/>
          <w:iCs/>
        </w:rPr>
        <w:t>Pedrazzani</w:t>
      </w:r>
      <w:proofErr w:type="spellEnd"/>
      <w:r w:rsidRPr="000D700C">
        <w:t xml:space="preserve"> (2018) 27 Cal.App.5th 89</w:t>
      </w:r>
      <w:r w:rsidR="00C03CBD">
        <w:t>.</w:t>
      </w:r>
      <w:r w:rsidR="00245CDB">
        <w:t xml:space="preserve"> </w:t>
      </w:r>
    </w:p>
    <w:p w14:paraId="53BC1BF4" w14:textId="77777777" w:rsidR="000D700C" w:rsidRDefault="000D700C" w:rsidP="000D700C"/>
    <w:p w14:paraId="42DA03B6" w14:textId="5900F741" w:rsidR="00245CDB" w:rsidRDefault="00245CDB" w:rsidP="00245CDB">
      <w:pPr>
        <w:pStyle w:val="ListParagraph"/>
        <w:numPr>
          <w:ilvl w:val="0"/>
          <w:numId w:val="7"/>
        </w:numPr>
      </w:pPr>
      <w:proofErr w:type="spellStart"/>
      <w:r w:rsidRPr="00245CDB">
        <w:rPr>
          <w:b/>
          <w:bCs/>
          <w:i/>
          <w:iCs/>
          <w:lang w:val="es-ES"/>
        </w:rPr>
        <w:t>Dennuccio</w:t>
      </w:r>
      <w:proofErr w:type="spellEnd"/>
      <w:r w:rsidRPr="00245CDB">
        <w:rPr>
          <w:b/>
          <w:bCs/>
          <w:i/>
          <w:iCs/>
          <w:lang w:val="es-ES"/>
        </w:rPr>
        <w:t xml:space="preserve"> v. Invicta and </w:t>
      </w:r>
      <w:proofErr w:type="spellStart"/>
      <w:r w:rsidRPr="00245CDB">
        <w:rPr>
          <w:b/>
          <w:bCs/>
          <w:i/>
          <w:iCs/>
          <w:lang w:val="es-ES"/>
        </w:rPr>
        <w:t>Inamura</w:t>
      </w:r>
      <w:proofErr w:type="spellEnd"/>
      <w:r w:rsidRPr="00245CDB">
        <w:rPr>
          <w:lang w:val="es-ES"/>
        </w:rPr>
        <w:t xml:space="preserve">, SDSC Case No. 37-2024-00018885-CU-CO-CTL. </w:t>
      </w:r>
      <w:r w:rsidRPr="00245CDB">
        <w:t>Trial in</w:t>
      </w:r>
      <w:r>
        <w:t xml:space="preserve"> 2015</w:t>
      </w:r>
      <w:r w:rsidR="00C4752A">
        <w:t xml:space="preserve">, </w:t>
      </w:r>
      <w:r>
        <w:t xml:space="preserve">Judge Taylor. Represented Plaintiff in individual Wage &amp;Hour case. Decision in favor of Plaintiff. </w:t>
      </w:r>
    </w:p>
    <w:p w14:paraId="40CD2952" w14:textId="77777777" w:rsidR="00245CDB" w:rsidRDefault="00245CDB" w:rsidP="00245CDB">
      <w:pPr>
        <w:pStyle w:val="ListParagraph"/>
      </w:pPr>
    </w:p>
    <w:p w14:paraId="19B6FE37" w14:textId="2BE2EED5" w:rsidR="00245CDB" w:rsidRDefault="00245CDB" w:rsidP="00245CDB">
      <w:pPr>
        <w:pStyle w:val="ListParagraph"/>
        <w:numPr>
          <w:ilvl w:val="0"/>
          <w:numId w:val="7"/>
        </w:numPr>
      </w:pPr>
      <w:r w:rsidRPr="00245CDB">
        <w:rPr>
          <w:b/>
          <w:bCs/>
          <w:i/>
          <w:iCs/>
        </w:rPr>
        <w:t xml:space="preserve">Horton, et. </w:t>
      </w:r>
      <w:proofErr w:type="gramStart"/>
      <w:r w:rsidRPr="00245CDB">
        <w:rPr>
          <w:b/>
          <w:bCs/>
          <w:i/>
          <w:iCs/>
        </w:rPr>
        <w:t>al</w:t>
      </w:r>
      <w:proofErr w:type="gramEnd"/>
      <w:r w:rsidRPr="00245CDB">
        <w:rPr>
          <w:b/>
          <w:bCs/>
          <w:i/>
          <w:iCs/>
        </w:rPr>
        <w:t xml:space="preserve">. v. Trident Society, et. </w:t>
      </w:r>
      <w:proofErr w:type="gramStart"/>
      <w:r w:rsidRPr="00245CDB">
        <w:rPr>
          <w:b/>
          <w:bCs/>
          <w:i/>
          <w:iCs/>
        </w:rPr>
        <w:t>al</w:t>
      </w:r>
      <w:proofErr w:type="gramEnd"/>
      <w:r w:rsidRPr="00245CDB">
        <w:rPr>
          <w:b/>
          <w:bCs/>
          <w:i/>
          <w:iCs/>
        </w:rPr>
        <w:t>.</w:t>
      </w:r>
      <w:r>
        <w:t>, SDSC Case No. 37-2016-00039356-CU-OE-CTL. Four-week PAGA+2 (wage/PAGA/sex harassment) bench trial in 2019 with Judge Wohlfeil. Decision in favor of Felicia Horton and other aggrieved employees</w:t>
      </w:r>
      <w:r w:rsidR="00B549F3">
        <w:t xml:space="preserve"> recovering </w:t>
      </w:r>
      <w:r w:rsidR="00C4752A">
        <w:t xml:space="preserve">a total of </w:t>
      </w:r>
      <w:r w:rsidR="00B549F3">
        <w:t>over $4.3 million.</w:t>
      </w:r>
      <w:r>
        <w:t xml:space="preserve"> </w:t>
      </w:r>
    </w:p>
    <w:p w14:paraId="1C434C24" w14:textId="77777777" w:rsidR="00245CDB" w:rsidRDefault="00245CDB" w:rsidP="00245CDB">
      <w:pPr>
        <w:pStyle w:val="ListParagraph"/>
      </w:pPr>
    </w:p>
    <w:p w14:paraId="0C811D0D" w14:textId="638DD43F" w:rsidR="00245CDB" w:rsidRDefault="00245CDB" w:rsidP="00245CDB">
      <w:pPr>
        <w:pStyle w:val="ListParagraph"/>
        <w:numPr>
          <w:ilvl w:val="0"/>
          <w:numId w:val="7"/>
        </w:numPr>
      </w:pPr>
      <w:r w:rsidRPr="00245CDB">
        <w:rPr>
          <w:b/>
          <w:bCs/>
          <w:i/>
          <w:iCs/>
        </w:rPr>
        <w:t xml:space="preserve">Cubias, et. </w:t>
      </w:r>
      <w:proofErr w:type="gramStart"/>
      <w:r w:rsidRPr="00245CDB">
        <w:rPr>
          <w:b/>
          <w:bCs/>
          <w:i/>
          <w:iCs/>
        </w:rPr>
        <w:t>al</w:t>
      </w:r>
      <w:proofErr w:type="gramEnd"/>
      <w:r w:rsidRPr="00245CDB">
        <w:rPr>
          <w:b/>
          <w:bCs/>
          <w:i/>
          <w:iCs/>
        </w:rPr>
        <w:t xml:space="preserve">. v. Protein for Pets, et. </w:t>
      </w:r>
      <w:proofErr w:type="gramStart"/>
      <w:r w:rsidRPr="00245CDB">
        <w:rPr>
          <w:b/>
          <w:bCs/>
          <w:i/>
          <w:iCs/>
        </w:rPr>
        <w:t>al</w:t>
      </w:r>
      <w:proofErr w:type="gramEnd"/>
      <w:r>
        <w:t>., SDSC Case. No. 37-2016-00045232-CU-OE-CTL. PAGA+1 (wage/PAGA) bench trial in 2019</w:t>
      </w:r>
      <w:r w:rsidR="00C4752A">
        <w:t xml:space="preserve">, </w:t>
      </w:r>
      <w:r>
        <w:t>Judge Taylor. Represented Plaintiff in Wage &amp; Hour/PAGA case. Case settled in favor of Plaintiffs after cross-examination of defendant business owner (called under EC776 by Plaintiff)</w:t>
      </w:r>
    </w:p>
    <w:p w14:paraId="504430D9" w14:textId="77777777" w:rsidR="00245CDB" w:rsidRDefault="00245CDB" w:rsidP="00245CDB">
      <w:pPr>
        <w:pStyle w:val="ListParagraph"/>
      </w:pPr>
    </w:p>
    <w:p w14:paraId="5187E4B0" w14:textId="5FBF4932" w:rsidR="00C4752A" w:rsidRDefault="00B549F3" w:rsidP="00B549F3">
      <w:pPr>
        <w:pStyle w:val="ListParagraph"/>
        <w:numPr>
          <w:ilvl w:val="0"/>
          <w:numId w:val="7"/>
        </w:numPr>
      </w:pPr>
      <w:r w:rsidRPr="00B549F3">
        <w:rPr>
          <w:b/>
          <w:bCs/>
          <w:i/>
          <w:iCs/>
        </w:rPr>
        <w:t xml:space="preserve">Barragan, et. </w:t>
      </w:r>
      <w:proofErr w:type="gramStart"/>
      <w:r w:rsidRPr="00B549F3">
        <w:rPr>
          <w:b/>
          <w:bCs/>
          <w:i/>
          <w:iCs/>
        </w:rPr>
        <w:t>al</w:t>
      </w:r>
      <w:proofErr w:type="gramEnd"/>
      <w:r w:rsidRPr="00B549F3">
        <w:rPr>
          <w:b/>
          <w:bCs/>
          <w:i/>
          <w:iCs/>
        </w:rPr>
        <w:t>. v. LNG Logistics and Gomez</w:t>
      </w:r>
      <w:r w:rsidRPr="00B549F3">
        <w:t xml:space="preserve">, SDSC Case No. 37-2017-00023393-CU-OE-CTL. PAGA+1 (wage/PAGA). </w:t>
      </w:r>
      <w:r>
        <w:t xml:space="preserve">Represented Ismael Barragan and other aggrieved employees in an individual and PAGA case (PAGA + 1) </w:t>
      </w:r>
      <w:r w:rsidRPr="00B549F3">
        <w:t>Two-week jury trial resulting in a jury verdict in favor of Thom’s client on individual claims in 2022</w:t>
      </w:r>
      <w:r w:rsidR="00C4752A">
        <w:t>.</w:t>
      </w:r>
      <w:r>
        <w:t xml:space="preserve"> </w:t>
      </w:r>
    </w:p>
    <w:p w14:paraId="655D1D96" w14:textId="77777777" w:rsidR="00C4752A" w:rsidRDefault="00C4752A" w:rsidP="00C4752A">
      <w:pPr>
        <w:pStyle w:val="ListParagraph"/>
      </w:pPr>
    </w:p>
    <w:p w14:paraId="68999416" w14:textId="3444E166" w:rsidR="00B549F3" w:rsidRDefault="00B549F3" w:rsidP="00B549F3">
      <w:pPr>
        <w:pStyle w:val="ListParagraph"/>
        <w:numPr>
          <w:ilvl w:val="0"/>
          <w:numId w:val="7"/>
        </w:numPr>
      </w:pPr>
      <w:r w:rsidRPr="00B549F3">
        <w:t xml:space="preserve">This was followed by a two-day bench trial decided in favor of other “aggrieved employees” on the PAGA penalties in 2024, with Judge Mangione. </w:t>
      </w:r>
      <w:r>
        <w:t>Trial resulted in</w:t>
      </w:r>
      <w:r w:rsidR="00C4752A">
        <w:t xml:space="preserve"> </w:t>
      </w:r>
      <w:r>
        <w:t>a judgment of over 1.4 million.</w:t>
      </w:r>
    </w:p>
    <w:p w14:paraId="520727D8" w14:textId="77777777" w:rsidR="00B549F3" w:rsidRDefault="00B549F3" w:rsidP="00B549F3">
      <w:pPr>
        <w:pStyle w:val="ListParagraph"/>
      </w:pPr>
    </w:p>
    <w:p w14:paraId="7F3FEA29" w14:textId="515F1E06" w:rsidR="00B549F3" w:rsidRPr="00B549F3" w:rsidRDefault="00B549F3" w:rsidP="00B549F3">
      <w:pPr>
        <w:pStyle w:val="ListParagraph"/>
        <w:numPr>
          <w:ilvl w:val="0"/>
          <w:numId w:val="7"/>
        </w:numPr>
      </w:pPr>
      <w:r w:rsidRPr="00B549F3">
        <w:rPr>
          <w:b/>
          <w:bCs/>
          <w:i/>
          <w:iCs/>
        </w:rPr>
        <w:t>Best v Hilal</w:t>
      </w:r>
      <w:r>
        <w:rPr>
          <w:b/>
          <w:bCs/>
          <w:i/>
          <w:iCs/>
        </w:rPr>
        <w:t xml:space="preserve">- </w:t>
      </w:r>
      <w:r w:rsidR="00C4752A" w:rsidRPr="00837677">
        <w:t xml:space="preserve">OCSC Case No. </w:t>
      </w:r>
      <w:r w:rsidR="002E0032" w:rsidRPr="00837677">
        <w:t>30-2022-01260217-CU-OE-CJC</w:t>
      </w:r>
      <w:r w:rsidR="00837677">
        <w:t>.</w:t>
      </w:r>
      <w:r w:rsidR="002E0032">
        <w:rPr>
          <w:b/>
          <w:bCs/>
          <w:i/>
          <w:iCs/>
        </w:rPr>
        <w:t xml:space="preserve"> </w:t>
      </w:r>
      <w:r w:rsidR="00C4752A" w:rsidRPr="00C4752A">
        <w:t>1 week jury trial in 2025</w:t>
      </w:r>
      <w:r w:rsidR="00837677">
        <w:t xml:space="preserve">. Defense verdict, </w:t>
      </w:r>
      <w:r w:rsidRPr="00B549F3">
        <w:t>pending Appeal.</w:t>
      </w:r>
    </w:p>
    <w:p w14:paraId="34E18303" w14:textId="77777777" w:rsidR="007F513F" w:rsidRDefault="007F513F" w:rsidP="00B549F3">
      <w:pPr>
        <w:pStyle w:val="ListParagraph"/>
      </w:pPr>
    </w:p>
    <w:p w14:paraId="1FAAFA67" w14:textId="3E29C6A0" w:rsidR="0087286C" w:rsidRPr="0087286C" w:rsidRDefault="00FA0F44" w:rsidP="00FA0F44">
      <w:pPr>
        <w:pStyle w:val="ListParagraph"/>
        <w:rPr>
          <w:b/>
          <w:bCs/>
          <w:i/>
          <w:iCs/>
        </w:rPr>
      </w:pPr>
      <w:r>
        <w:t xml:space="preserve">*Above court trials do not include numerous arbitrations, Labor Board hearings, </w:t>
      </w:r>
      <w:proofErr w:type="gramStart"/>
      <w:r>
        <w:t>medical  professional</w:t>
      </w:r>
      <w:proofErr w:type="gramEnd"/>
      <w:r>
        <w:t xml:space="preserve"> licensing hearings and EDD hearings.</w:t>
      </w:r>
    </w:p>
    <w:sectPr w:rsidR="0087286C" w:rsidRPr="0087286C" w:rsidSect="00FF3AC8">
      <w:footerReference w:type="default" r:id="rId8"/>
      <w:pgSz w:w="12240" w:h="15840"/>
      <w:pgMar w:top="1440" w:right="1440" w:bottom="1440" w:left="1440" w:header="720"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BCC0" w14:textId="77777777" w:rsidR="009670E1" w:rsidRDefault="009670E1" w:rsidP="00FD06A5">
      <w:r>
        <w:separator/>
      </w:r>
    </w:p>
  </w:endnote>
  <w:endnote w:type="continuationSeparator" w:id="0">
    <w:p w14:paraId="10154FDE" w14:textId="77777777" w:rsidR="009670E1" w:rsidRDefault="009670E1" w:rsidP="00FD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39148"/>
      <w:docPartObj>
        <w:docPartGallery w:val="Page Numbers (Bottom of Page)"/>
        <w:docPartUnique/>
      </w:docPartObj>
    </w:sdtPr>
    <w:sdtContent>
      <w:sdt>
        <w:sdtPr>
          <w:id w:val="-1705238520"/>
          <w:docPartObj>
            <w:docPartGallery w:val="Page Numbers (Top of Page)"/>
            <w:docPartUnique/>
          </w:docPartObj>
        </w:sdtPr>
        <w:sdtContent>
          <w:p w14:paraId="36F22576" w14:textId="028787B5" w:rsidR="00FD06A5" w:rsidRDefault="00FD06A5" w:rsidP="00FF3AC8">
            <w:pPr>
              <w:pStyle w:val="Footer"/>
              <w:jc w:val="center"/>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A5F7" w14:textId="77777777" w:rsidR="009670E1" w:rsidRDefault="009670E1" w:rsidP="00FD06A5">
      <w:r>
        <w:separator/>
      </w:r>
    </w:p>
  </w:footnote>
  <w:footnote w:type="continuationSeparator" w:id="0">
    <w:p w14:paraId="2F6E6ED9" w14:textId="77777777" w:rsidR="009670E1" w:rsidRDefault="009670E1" w:rsidP="00FD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464"/>
    <w:multiLevelType w:val="multilevel"/>
    <w:tmpl w:val="F150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E3D70"/>
    <w:multiLevelType w:val="hybridMultilevel"/>
    <w:tmpl w:val="D44CF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38425E"/>
    <w:multiLevelType w:val="multilevel"/>
    <w:tmpl w:val="BC9E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7F597B"/>
    <w:multiLevelType w:val="multilevel"/>
    <w:tmpl w:val="336A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447A18"/>
    <w:multiLevelType w:val="hybridMultilevel"/>
    <w:tmpl w:val="B20E5D28"/>
    <w:lvl w:ilvl="0" w:tplc="5434AC4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764BA"/>
    <w:multiLevelType w:val="multilevel"/>
    <w:tmpl w:val="0FDA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F36FA7"/>
    <w:multiLevelType w:val="hybridMultilevel"/>
    <w:tmpl w:val="091A87B4"/>
    <w:lvl w:ilvl="0" w:tplc="04090001">
      <w:start w:val="1"/>
      <w:numFmt w:val="bullet"/>
      <w:lvlText w:val=""/>
      <w:lvlJc w:val="left"/>
      <w:pPr>
        <w:ind w:left="720" w:hanging="360"/>
      </w:pPr>
      <w:rPr>
        <w:rFonts w:ascii="Symbol" w:hAnsi="Symbol"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57B09"/>
    <w:multiLevelType w:val="hybridMultilevel"/>
    <w:tmpl w:val="D8FC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040355">
    <w:abstractNumId w:val="0"/>
  </w:num>
  <w:num w:numId="2" w16cid:durableId="487065045">
    <w:abstractNumId w:val="3"/>
  </w:num>
  <w:num w:numId="3" w16cid:durableId="289165288">
    <w:abstractNumId w:val="2"/>
  </w:num>
  <w:num w:numId="4" w16cid:durableId="1962224858">
    <w:abstractNumId w:val="5"/>
  </w:num>
  <w:num w:numId="5" w16cid:durableId="149954668">
    <w:abstractNumId w:val="1"/>
  </w:num>
  <w:num w:numId="6" w16cid:durableId="1649478961">
    <w:abstractNumId w:val="7"/>
  </w:num>
  <w:num w:numId="7" w16cid:durableId="859511253">
    <w:abstractNumId w:val="6"/>
  </w:num>
  <w:num w:numId="8" w16cid:durableId="1943994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A1"/>
    <w:rsid w:val="000078C6"/>
    <w:rsid w:val="00064485"/>
    <w:rsid w:val="000C1392"/>
    <w:rsid w:val="000D700C"/>
    <w:rsid w:val="0016439A"/>
    <w:rsid w:val="001C6B5D"/>
    <w:rsid w:val="001D22F9"/>
    <w:rsid w:val="00215325"/>
    <w:rsid w:val="00245CDB"/>
    <w:rsid w:val="002A2C02"/>
    <w:rsid w:val="002B6C2E"/>
    <w:rsid w:val="002E0032"/>
    <w:rsid w:val="003053C2"/>
    <w:rsid w:val="003461FA"/>
    <w:rsid w:val="00380DBA"/>
    <w:rsid w:val="003A711B"/>
    <w:rsid w:val="003B4840"/>
    <w:rsid w:val="003F5B76"/>
    <w:rsid w:val="00426BBB"/>
    <w:rsid w:val="004F6DBD"/>
    <w:rsid w:val="00591123"/>
    <w:rsid w:val="005B7F95"/>
    <w:rsid w:val="005D454F"/>
    <w:rsid w:val="00630C0A"/>
    <w:rsid w:val="006A2D69"/>
    <w:rsid w:val="006C755B"/>
    <w:rsid w:val="006D4F85"/>
    <w:rsid w:val="007209EB"/>
    <w:rsid w:val="007C123F"/>
    <w:rsid w:val="007D63A1"/>
    <w:rsid w:val="007F513F"/>
    <w:rsid w:val="00811898"/>
    <w:rsid w:val="00837677"/>
    <w:rsid w:val="00842600"/>
    <w:rsid w:val="0087286C"/>
    <w:rsid w:val="00897FE7"/>
    <w:rsid w:val="008B1CF6"/>
    <w:rsid w:val="008C399A"/>
    <w:rsid w:val="008D3D76"/>
    <w:rsid w:val="00902E18"/>
    <w:rsid w:val="00946244"/>
    <w:rsid w:val="009670E1"/>
    <w:rsid w:val="009A46DE"/>
    <w:rsid w:val="009E676B"/>
    <w:rsid w:val="009F38D3"/>
    <w:rsid w:val="00A13F11"/>
    <w:rsid w:val="00AF573D"/>
    <w:rsid w:val="00B36530"/>
    <w:rsid w:val="00B549F3"/>
    <w:rsid w:val="00BF3524"/>
    <w:rsid w:val="00C03CBD"/>
    <w:rsid w:val="00C125C5"/>
    <w:rsid w:val="00C4752A"/>
    <w:rsid w:val="00CC0F9D"/>
    <w:rsid w:val="00D03B98"/>
    <w:rsid w:val="00E214BE"/>
    <w:rsid w:val="00E60861"/>
    <w:rsid w:val="00EB3F20"/>
    <w:rsid w:val="00EB48F0"/>
    <w:rsid w:val="00ED6F6F"/>
    <w:rsid w:val="00EF7BAB"/>
    <w:rsid w:val="00FA0F44"/>
    <w:rsid w:val="00FC7628"/>
    <w:rsid w:val="00FD06A5"/>
    <w:rsid w:val="00FF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2EB19C"/>
  <w14:defaultImageDpi w14:val="0"/>
  <w15:docId w15:val="{EB7CAD1B-CF89-4F74-9A70-74C72754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FD06A5"/>
    <w:pPr>
      <w:tabs>
        <w:tab w:val="center" w:pos="4680"/>
        <w:tab w:val="right" w:pos="9360"/>
      </w:tabs>
    </w:pPr>
  </w:style>
  <w:style w:type="character" w:customStyle="1" w:styleId="HeaderChar">
    <w:name w:val="Header Char"/>
    <w:basedOn w:val="DefaultParagraphFont"/>
    <w:link w:val="Header"/>
    <w:uiPriority w:val="99"/>
    <w:rsid w:val="00FD06A5"/>
    <w:rPr>
      <w:rFonts w:ascii="Times New Roman" w:hAnsi="Times New Roman" w:cs="Times New Roman"/>
      <w:kern w:val="0"/>
    </w:rPr>
  </w:style>
  <w:style w:type="paragraph" w:styleId="Footer">
    <w:name w:val="footer"/>
    <w:basedOn w:val="Normal"/>
    <w:link w:val="FooterChar"/>
    <w:uiPriority w:val="99"/>
    <w:unhideWhenUsed/>
    <w:rsid w:val="00FD06A5"/>
    <w:pPr>
      <w:tabs>
        <w:tab w:val="center" w:pos="4680"/>
        <w:tab w:val="right" w:pos="9360"/>
      </w:tabs>
    </w:pPr>
  </w:style>
  <w:style w:type="character" w:customStyle="1" w:styleId="FooterChar">
    <w:name w:val="Footer Char"/>
    <w:basedOn w:val="DefaultParagraphFont"/>
    <w:link w:val="Footer"/>
    <w:uiPriority w:val="99"/>
    <w:rsid w:val="00FD06A5"/>
    <w:rPr>
      <w:rFonts w:ascii="Times New Roman" w:hAnsi="Times New Roman" w:cs="Times New Roman"/>
      <w:kern w:val="0"/>
    </w:rPr>
  </w:style>
  <w:style w:type="paragraph" w:styleId="ListParagraph">
    <w:name w:val="List Paragraph"/>
    <w:basedOn w:val="Normal"/>
    <w:uiPriority w:val="34"/>
    <w:qFormat/>
    <w:rsid w:val="00380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43328">
      <w:bodyDiv w:val="1"/>
      <w:marLeft w:val="0"/>
      <w:marRight w:val="0"/>
      <w:marTop w:val="0"/>
      <w:marBottom w:val="0"/>
      <w:divBdr>
        <w:top w:val="none" w:sz="0" w:space="0" w:color="auto"/>
        <w:left w:val="none" w:sz="0" w:space="0" w:color="auto"/>
        <w:bottom w:val="none" w:sz="0" w:space="0" w:color="auto"/>
        <w:right w:val="none" w:sz="0" w:space="0" w:color="auto"/>
      </w:divBdr>
      <w:divsChild>
        <w:div w:id="1476872939">
          <w:marLeft w:val="0"/>
          <w:marRight w:val="0"/>
          <w:marTop w:val="0"/>
          <w:marBottom w:val="0"/>
          <w:divBdr>
            <w:top w:val="none" w:sz="0" w:space="0" w:color="auto"/>
            <w:left w:val="none" w:sz="0" w:space="0" w:color="auto"/>
            <w:bottom w:val="none" w:sz="0" w:space="0" w:color="auto"/>
            <w:right w:val="none" w:sz="0" w:space="0" w:color="auto"/>
          </w:divBdr>
          <w:divsChild>
            <w:div w:id="961764744">
              <w:marLeft w:val="0"/>
              <w:marRight w:val="0"/>
              <w:marTop w:val="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0"/>
                      <w:divBdr>
                        <w:top w:val="none" w:sz="0" w:space="0" w:color="auto"/>
                        <w:left w:val="none" w:sz="0" w:space="0" w:color="auto"/>
                        <w:bottom w:val="none" w:sz="0" w:space="0" w:color="auto"/>
                        <w:right w:val="none" w:sz="0" w:space="0" w:color="auto"/>
                      </w:divBdr>
                      <w:divsChild>
                        <w:div w:id="1300038179">
                          <w:marLeft w:val="0"/>
                          <w:marRight w:val="0"/>
                          <w:marTop w:val="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6777">
          <w:marLeft w:val="0"/>
          <w:marRight w:val="0"/>
          <w:marTop w:val="0"/>
          <w:marBottom w:val="0"/>
          <w:divBdr>
            <w:top w:val="none" w:sz="0" w:space="0" w:color="auto"/>
            <w:left w:val="none" w:sz="0" w:space="0" w:color="auto"/>
            <w:bottom w:val="none" w:sz="0" w:space="0" w:color="auto"/>
            <w:right w:val="none" w:sz="0" w:space="0" w:color="auto"/>
          </w:divBdr>
          <w:divsChild>
            <w:div w:id="56054715">
              <w:marLeft w:val="0"/>
              <w:marRight w:val="0"/>
              <w:marTop w:val="0"/>
              <w:marBottom w:val="0"/>
              <w:divBdr>
                <w:top w:val="none" w:sz="0" w:space="0" w:color="auto"/>
                <w:left w:val="none" w:sz="0" w:space="0" w:color="auto"/>
                <w:bottom w:val="none" w:sz="0" w:space="0" w:color="auto"/>
                <w:right w:val="none" w:sz="0" w:space="0" w:color="auto"/>
              </w:divBdr>
              <w:divsChild>
                <w:div w:id="1427077796">
                  <w:marLeft w:val="0"/>
                  <w:marRight w:val="0"/>
                  <w:marTop w:val="0"/>
                  <w:marBottom w:val="0"/>
                  <w:divBdr>
                    <w:top w:val="none" w:sz="0" w:space="0" w:color="auto"/>
                    <w:left w:val="none" w:sz="0" w:space="0" w:color="auto"/>
                    <w:bottom w:val="none" w:sz="0" w:space="0" w:color="auto"/>
                    <w:right w:val="none" w:sz="0" w:space="0" w:color="auto"/>
                  </w:divBdr>
                  <w:divsChild>
                    <w:div w:id="861744257">
                      <w:marLeft w:val="0"/>
                      <w:marRight w:val="0"/>
                      <w:marTop w:val="0"/>
                      <w:marBottom w:val="0"/>
                      <w:divBdr>
                        <w:top w:val="none" w:sz="0" w:space="0" w:color="auto"/>
                        <w:left w:val="none" w:sz="0" w:space="0" w:color="auto"/>
                        <w:bottom w:val="none" w:sz="0" w:space="0" w:color="auto"/>
                        <w:right w:val="none" w:sz="0" w:space="0" w:color="auto"/>
                      </w:divBdr>
                      <w:divsChild>
                        <w:div w:id="1512453355">
                          <w:marLeft w:val="0"/>
                          <w:marRight w:val="0"/>
                          <w:marTop w:val="0"/>
                          <w:marBottom w:val="0"/>
                          <w:divBdr>
                            <w:top w:val="none" w:sz="0" w:space="0" w:color="auto"/>
                            <w:left w:val="none" w:sz="0" w:space="0" w:color="auto"/>
                            <w:bottom w:val="none" w:sz="0" w:space="0" w:color="auto"/>
                            <w:right w:val="none" w:sz="0" w:space="0" w:color="auto"/>
                          </w:divBdr>
                          <w:divsChild>
                            <w:div w:id="1221752582">
                              <w:marLeft w:val="0"/>
                              <w:marRight w:val="0"/>
                              <w:marTop w:val="0"/>
                              <w:marBottom w:val="0"/>
                              <w:divBdr>
                                <w:top w:val="none" w:sz="0" w:space="0" w:color="auto"/>
                                <w:left w:val="none" w:sz="0" w:space="0" w:color="auto"/>
                                <w:bottom w:val="none" w:sz="0" w:space="0" w:color="auto"/>
                                <w:right w:val="none" w:sz="0" w:space="0" w:color="auto"/>
                              </w:divBdr>
                            </w:div>
                          </w:divsChild>
                        </w:div>
                        <w:div w:id="1340085666">
                          <w:marLeft w:val="0"/>
                          <w:marRight w:val="0"/>
                          <w:marTop w:val="0"/>
                          <w:marBottom w:val="0"/>
                          <w:divBdr>
                            <w:top w:val="none" w:sz="0" w:space="0" w:color="auto"/>
                            <w:left w:val="none" w:sz="0" w:space="0" w:color="auto"/>
                            <w:bottom w:val="none" w:sz="0" w:space="0" w:color="auto"/>
                            <w:right w:val="none" w:sz="0" w:space="0" w:color="auto"/>
                          </w:divBdr>
                          <w:divsChild>
                            <w:div w:id="1853061197">
                              <w:marLeft w:val="0"/>
                              <w:marRight w:val="0"/>
                              <w:marTop w:val="0"/>
                              <w:marBottom w:val="0"/>
                              <w:divBdr>
                                <w:top w:val="none" w:sz="0" w:space="0" w:color="auto"/>
                                <w:left w:val="none" w:sz="0" w:space="0" w:color="auto"/>
                                <w:bottom w:val="none" w:sz="0" w:space="0" w:color="auto"/>
                                <w:right w:val="none" w:sz="0" w:space="0" w:color="auto"/>
                              </w:divBdr>
                            </w:div>
                          </w:divsChild>
                        </w:div>
                        <w:div w:id="636183713">
                          <w:marLeft w:val="0"/>
                          <w:marRight w:val="0"/>
                          <w:marTop w:val="0"/>
                          <w:marBottom w:val="0"/>
                          <w:divBdr>
                            <w:top w:val="none" w:sz="0" w:space="0" w:color="auto"/>
                            <w:left w:val="none" w:sz="0" w:space="0" w:color="auto"/>
                            <w:bottom w:val="none" w:sz="0" w:space="0" w:color="auto"/>
                            <w:right w:val="none" w:sz="0" w:space="0" w:color="auto"/>
                          </w:divBdr>
                          <w:divsChild>
                            <w:div w:id="1726952142">
                              <w:marLeft w:val="0"/>
                              <w:marRight w:val="0"/>
                              <w:marTop w:val="0"/>
                              <w:marBottom w:val="0"/>
                              <w:divBdr>
                                <w:top w:val="none" w:sz="0" w:space="0" w:color="auto"/>
                                <w:left w:val="none" w:sz="0" w:space="0" w:color="auto"/>
                                <w:bottom w:val="none" w:sz="0" w:space="0" w:color="auto"/>
                                <w:right w:val="none" w:sz="0" w:space="0" w:color="auto"/>
                              </w:divBdr>
                            </w:div>
                          </w:divsChild>
                        </w:div>
                        <w:div w:id="500125320">
                          <w:marLeft w:val="0"/>
                          <w:marRight w:val="0"/>
                          <w:marTop w:val="0"/>
                          <w:marBottom w:val="0"/>
                          <w:divBdr>
                            <w:top w:val="none" w:sz="0" w:space="0" w:color="auto"/>
                            <w:left w:val="none" w:sz="0" w:space="0" w:color="auto"/>
                            <w:bottom w:val="none" w:sz="0" w:space="0" w:color="auto"/>
                            <w:right w:val="none" w:sz="0" w:space="0" w:color="auto"/>
                          </w:divBdr>
                          <w:divsChild>
                            <w:div w:id="1092820935">
                              <w:marLeft w:val="0"/>
                              <w:marRight w:val="0"/>
                              <w:marTop w:val="0"/>
                              <w:marBottom w:val="0"/>
                              <w:divBdr>
                                <w:top w:val="none" w:sz="0" w:space="0" w:color="auto"/>
                                <w:left w:val="none" w:sz="0" w:space="0" w:color="auto"/>
                                <w:bottom w:val="none" w:sz="0" w:space="0" w:color="auto"/>
                                <w:right w:val="none" w:sz="0" w:space="0" w:color="auto"/>
                              </w:divBdr>
                            </w:div>
                          </w:divsChild>
                        </w:div>
                        <w:div w:id="1938248764">
                          <w:marLeft w:val="0"/>
                          <w:marRight w:val="0"/>
                          <w:marTop w:val="0"/>
                          <w:marBottom w:val="0"/>
                          <w:divBdr>
                            <w:top w:val="none" w:sz="0" w:space="0" w:color="auto"/>
                            <w:left w:val="none" w:sz="0" w:space="0" w:color="auto"/>
                            <w:bottom w:val="none" w:sz="0" w:space="0" w:color="auto"/>
                            <w:right w:val="none" w:sz="0" w:space="0" w:color="auto"/>
                          </w:divBdr>
                          <w:divsChild>
                            <w:div w:id="1485271595">
                              <w:marLeft w:val="0"/>
                              <w:marRight w:val="0"/>
                              <w:marTop w:val="0"/>
                              <w:marBottom w:val="0"/>
                              <w:divBdr>
                                <w:top w:val="none" w:sz="0" w:space="0" w:color="auto"/>
                                <w:left w:val="none" w:sz="0" w:space="0" w:color="auto"/>
                                <w:bottom w:val="none" w:sz="0" w:space="0" w:color="auto"/>
                                <w:right w:val="none" w:sz="0" w:space="0" w:color="auto"/>
                              </w:divBdr>
                            </w:div>
                          </w:divsChild>
                        </w:div>
                        <w:div w:id="291524985">
                          <w:marLeft w:val="0"/>
                          <w:marRight w:val="0"/>
                          <w:marTop w:val="0"/>
                          <w:marBottom w:val="0"/>
                          <w:divBdr>
                            <w:top w:val="none" w:sz="0" w:space="0" w:color="auto"/>
                            <w:left w:val="none" w:sz="0" w:space="0" w:color="auto"/>
                            <w:bottom w:val="none" w:sz="0" w:space="0" w:color="auto"/>
                            <w:right w:val="none" w:sz="0" w:space="0" w:color="auto"/>
                          </w:divBdr>
                          <w:divsChild>
                            <w:div w:id="18603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5606</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Diachenko</dc:creator>
  <cp:keywords/>
  <dc:description/>
  <cp:lastModifiedBy>Beth Diachenko</cp:lastModifiedBy>
  <cp:revision>17</cp:revision>
  <cp:lastPrinted>2025-10-21T16:27:00Z</cp:lastPrinted>
  <dcterms:created xsi:type="dcterms:W3CDTF">2024-10-04T20:56:00Z</dcterms:created>
  <dcterms:modified xsi:type="dcterms:W3CDTF">2025-10-21T16:28:00Z</dcterms:modified>
</cp:coreProperties>
</file>